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FB" w:rsidRPr="007A69FB" w:rsidRDefault="007A69FB" w:rsidP="007A69FB">
      <w:pPr>
        <w:spacing w:after="0" w:line="240" w:lineRule="auto"/>
        <w:rPr>
          <w:rFonts w:eastAsia="Times New Roman" w:cs="Times New Roman"/>
          <w:color w:val="000000"/>
          <w:sz w:val="20"/>
          <w:szCs w:val="20"/>
          <w:lang w:eastAsia="pl-PL"/>
        </w:rPr>
      </w:pPr>
      <w:r w:rsidRPr="007A69FB">
        <w:rPr>
          <w:rFonts w:eastAsia="Times New Roman" w:cs="Times New Roman"/>
          <w:color w:val="000000"/>
          <w:sz w:val="20"/>
          <w:szCs w:val="20"/>
          <w:lang w:eastAsia="pl-PL"/>
        </w:rPr>
        <w:t>Adres strony internetowej, na której Zamawiający udostępnia Specyfikację Istotnych Warunków Zamówienia:</w:t>
      </w:r>
    </w:p>
    <w:p w:rsidR="007A69FB" w:rsidRPr="007A69FB" w:rsidRDefault="007A69FB" w:rsidP="007A69FB">
      <w:pPr>
        <w:spacing w:after="0" w:line="240" w:lineRule="auto"/>
        <w:rPr>
          <w:rFonts w:eastAsia="Times New Roman" w:cs="Times New Roman"/>
          <w:sz w:val="20"/>
          <w:szCs w:val="20"/>
          <w:lang w:eastAsia="pl-PL"/>
        </w:rPr>
      </w:pPr>
      <w:hyperlink w:tgtFrame="_blank" w:history="1">
        <w:r w:rsidRPr="007A69FB">
          <w:rPr>
            <w:rFonts w:eastAsia="Times New Roman" w:cs="Times New Roman"/>
            <w:b/>
            <w:bCs/>
            <w:color w:val="FF0000"/>
            <w:sz w:val="20"/>
            <w:szCs w:val="20"/>
            <w:lang w:eastAsia="pl-PL"/>
          </w:rPr>
          <w:t>www.bip.miedzyrzecz,pl</w:t>
        </w:r>
      </w:hyperlink>
    </w:p>
    <w:p w:rsidR="007A69FB" w:rsidRPr="007A69FB" w:rsidRDefault="007A69FB" w:rsidP="007A69FB">
      <w:pPr>
        <w:spacing w:after="0" w:line="240" w:lineRule="auto"/>
        <w:rPr>
          <w:rFonts w:eastAsia="Times New Roman" w:cs="Times New Roman"/>
          <w:sz w:val="20"/>
          <w:szCs w:val="20"/>
          <w:lang w:eastAsia="pl-PL"/>
        </w:rPr>
      </w:pPr>
      <w:r w:rsidRPr="007A69FB">
        <w:rPr>
          <w:rFonts w:eastAsia="Times New Roman" w:cs="Times New Roman"/>
          <w:sz w:val="20"/>
          <w:szCs w:val="20"/>
          <w:lang w:eastAsia="pl-PL"/>
        </w:rPr>
        <w:pict>
          <v:rect id="_x0000_i1025" style="width:0;height:1.5pt" o:hrstd="t" o:hrnoshade="t" o:hr="t" fillcolor="black" stroked="f"/>
        </w:pict>
      </w:r>
    </w:p>
    <w:p w:rsidR="007A69FB" w:rsidRPr="007A69FB" w:rsidRDefault="007A69FB" w:rsidP="007A69FB">
      <w:pPr>
        <w:spacing w:after="0" w:line="240" w:lineRule="auto"/>
        <w:ind w:left="225"/>
        <w:jc w:val="center"/>
        <w:rPr>
          <w:rFonts w:eastAsia="Times New Roman" w:cs="Arial CE"/>
          <w:color w:val="000000"/>
          <w:sz w:val="20"/>
          <w:szCs w:val="20"/>
          <w:lang w:eastAsia="pl-PL"/>
        </w:rPr>
      </w:pPr>
      <w:r w:rsidRPr="007A69FB">
        <w:rPr>
          <w:rFonts w:eastAsia="Times New Roman" w:cs="Arial CE"/>
          <w:b/>
          <w:bCs/>
          <w:color w:val="000000"/>
          <w:sz w:val="20"/>
          <w:szCs w:val="20"/>
          <w:lang w:eastAsia="pl-PL"/>
        </w:rPr>
        <w:t>Międzyrzecz: Naprawa cząstkowa dróg o nawierzchni asfaltowej na terenie Gminy Międzyrzecz</w:t>
      </w:r>
      <w:r w:rsidRPr="007A69FB">
        <w:rPr>
          <w:rFonts w:eastAsia="Times New Roman" w:cs="Arial CE"/>
          <w:color w:val="000000"/>
          <w:sz w:val="20"/>
          <w:szCs w:val="20"/>
          <w:lang w:eastAsia="pl-PL"/>
        </w:rPr>
        <w:br/>
      </w:r>
      <w:r w:rsidRPr="007A69FB">
        <w:rPr>
          <w:rFonts w:eastAsia="Times New Roman" w:cs="Arial CE"/>
          <w:b/>
          <w:bCs/>
          <w:color w:val="000000"/>
          <w:sz w:val="20"/>
          <w:szCs w:val="20"/>
          <w:lang w:eastAsia="pl-PL"/>
        </w:rPr>
        <w:t>Numer ogłoszenia: 29556 - 2015; data zamieszczenia: 10.02.2015</w:t>
      </w:r>
      <w:r w:rsidRPr="007A69FB">
        <w:rPr>
          <w:rFonts w:eastAsia="Times New Roman" w:cs="Arial CE"/>
          <w:color w:val="000000"/>
          <w:sz w:val="20"/>
          <w:szCs w:val="20"/>
          <w:lang w:eastAsia="pl-PL"/>
        </w:rPr>
        <w:br/>
        <w:t>OGŁOSZENIE O ZAMÓWIENIU - usługi</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Zamieszczanie ogłoszenia:</w:t>
      </w:r>
      <w:r w:rsidRPr="007A69FB">
        <w:rPr>
          <w:rFonts w:eastAsia="Times New Roman" w:cs="Arial CE"/>
          <w:color w:val="000000"/>
          <w:sz w:val="20"/>
          <w:szCs w:val="20"/>
          <w:lang w:eastAsia="pl-PL"/>
        </w:rPr>
        <w:t> obowiązkowe.</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Ogłoszenie dotyczy:</w:t>
      </w:r>
      <w:r w:rsidRPr="007A69FB">
        <w:rPr>
          <w:rFonts w:eastAsia="Times New Roman" w:cs="Arial CE"/>
          <w:color w:val="000000"/>
          <w:sz w:val="20"/>
          <w:szCs w:val="20"/>
          <w:lang w:eastAsia="pl-PL"/>
        </w:rPr>
        <w:t> zamówienia publicznego.</w:t>
      </w:r>
    </w:p>
    <w:p w:rsidR="007A69FB" w:rsidRPr="007A69FB" w:rsidRDefault="007A69FB" w:rsidP="007A69FB">
      <w:pPr>
        <w:spacing w:after="0" w:line="240" w:lineRule="auto"/>
        <w:rPr>
          <w:rFonts w:eastAsia="Times New Roman" w:cs="Arial CE"/>
          <w:b/>
          <w:bCs/>
          <w:color w:val="000000"/>
          <w:sz w:val="20"/>
          <w:szCs w:val="20"/>
          <w:u w:val="single"/>
          <w:lang w:eastAsia="pl-PL"/>
        </w:rPr>
      </w:pPr>
      <w:r w:rsidRPr="007A69FB">
        <w:rPr>
          <w:rFonts w:eastAsia="Times New Roman" w:cs="Arial CE"/>
          <w:b/>
          <w:bCs/>
          <w:color w:val="000000"/>
          <w:sz w:val="20"/>
          <w:szCs w:val="20"/>
          <w:u w:val="single"/>
          <w:lang w:eastAsia="pl-PL"/>
        </w:rPr>
        <w:t>SEKCJA I: ZAMAWIAJĄCY</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 1) NAZWA I ADRES:</w:t>
      </w:r>
      <w:r w:rsidRPr="007A69FB">
        <w:rPr>
          <w:rFonts w:eastAsia="Times New Roman" w:cs="Arial CE"/>
          <w:color w:val="000000"/>
          <w:sz w:val="20"/>
          <w:szCs w:val="20"/>
          <w:lang w:eastAsia="pl-PL"/>
        </w:rPr>
        <w:t> Gmina Międzyrzecz , ul. Rynek 1, 66-300 Międzyrzecz, woj. lubuskie, tel. 95 7426930, faks 95 7426979.</w:t>
      </w:r>
    </w:p>
    <w:p w:rsidR="007A69FB" w:rsidRPr="007A69FB" w:rsidRDefault="007A69FB" w:rsidP="007A69FB">
      <w:pPr>
        <w:numPr>
          <w:ilvl w:val="0"/>
          <w:numId w:val="1"/>
        </w:numPr>
        <w:spacing w:after="0" w:line="240" w:lineRule="auto"/>
        <w:ind w:left="450"/>
        <w:rPr>
          <w:rFonts w:eastAsia="Times New Roman" w:cs="Arial CE"/>
          <w:color w:val="000000"/>
          <w:sz w:val="20"/>
          <w:szCs w:val="20"/>
          <w:lang w:eastAsia="pl-PL"/>
        </w:rPr>
      </w:pPr>
      <w:r w:rsidRPr="007A69FB">
        <w:rPr>
          <w:rFonts w:eastAsia="Times New Roman" w:cs="Arial CE"/>
          <w:b/>
          <w:bCs/>
          <w:color w:val="000000"/>
          <w:sz w:val="20"/>
          <w:szCs w:val="20"/>
          <w:lang w:eastAsia="pl-PL"/>
        </w:rPr>
        <w:t>Adres strony internetowej zamawiającego:</w:t>
      </w:r>
      <w:r w:rsidRPr="007A69FB">
        <w:rPr>
          <w:rFonts w:eastAsia="Times New Roman" w:cs="Arial CE"/>
          <w:color w:val="000000"/>
          <w:sz w:val="20"/>
          <w:szCs w:val="20"/>
          <w:lang w:eastAsia="pl-PL"/>
        </w:rPr>
        <w:t> www.miedzyrzecz.pl</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 2) RODZAJ ZAMAWIAJĄCEGO:</w:t>
      </w:r>
      <w:r w:rsidRPr="007A69FB">
        <w:rPr>
          <w:rFonts w:eastAsia="Times New Roman" w:cs="Arial CE"/>
          <w:color w:val="000000"/>
          <w:sz w:val="20"/>
          <w:szCs w:val="20"/>
          <w:lang w:eastAsia="pl-PL"/>
        </w:rPr>
        <w:t> Administracja samorządowa.</w:t>
      </w:r>
    </w:p>
    <w:p w:rsidR="007A69FB" w:rsidRPr="007A69FB" w:rsidRDefault="007A69FB" w:rsidP="007A69FB">
      <w:pPr>
        <w:spacing w:after="0" w:line="240" w:lineRule="auto"/>
        <w:rPr>
          <w:rFonts w:eastAsia="Times New Roman" w:cs="Arial CE"/>
          <w:b/>
          <w:bCs/>
          <w:color w:val="000000"/>
          <w:sz w:val="20"/>
          <w:szCs w:val="20"/>
          <w:u w:val="single"/>
          <w:lang w:eastAsia="pl-PL"/>
        </w:rPr>
      </w:pPr>
      <w:r w:rsidRPr="007A69FB">
        <w:rPr>
          <w:rFonts w:eastAsia="Times New Roman" w:cs="Arial CE"/>
          <w:b/>
          <w:bCs/>
          <w:color w:val="000000"/>
          <w:sz w:val="20"/>
          <w:szCs w:val="20"/>
          <w:u w:val="single"/>
          <w:lang w:eastAsia="pl-PL"/>
        </w:rPr>
        <w:t>SEKCJA II: PRZEDMIOT ZAMÓWIENIA</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II.1) OKREŚLENIE PRZEDMIOTU ZAMÓWIENIA</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II.1.1) Nazwa nadana zamówieniu przez zamawiającego:</w:t>
      </w:r>
      <w:r w:rsidRPr="007A69FB">
        <w:rPr>
          <w:rFonts w:eastAsia="Times New Roman" w:cs="Arial CE"/>
          <w:color w:val="000000"/>
          <w:sz w:val="20"/>
          <w:szCs w:val="20"/>
          <w:lang w:eastAsia="pl-PL"/>
        </w:rPr>
        <w:t> Naprawa cząstkowa dróg o nawierzchni asfaltowej na terenie Gminy Międzyrzecz.</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II.1.2) Rodzaj zamówienia:</w:t>
      </w:r>
      <w:r w:rsidRPr="007A69FB">
        <w:rPr>
          <w:rFonts w:eastAsia="Times New Roman" w:cs="Arial CE"/>
          <w:color w:val="000000"/>
          <w:sz w:val="20"/>
          <w:szCs w:val="20"/>
          <w:lang w:eastAsia="pl-PL"/>
        </w:rPr>
        <w:t> usługi.</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II.1.4) Określenie przedmiotu oraz wielkości lub zakresu zamówienia:</w:t>
      </w:r>
      <w:r w:rsidRPr="007A69FB">
        <w:rPr>
          <w:rFonts w:eastAsia="Times New Roman" w:cs="Arial CE"/>
          <w:color w:val="000000"/>
          <w:sz w:val="20"/>
          <w:szCs w:val="20"/>
          <w:lang w:eastAsia="pl-PL"/>
        </w:rPr>
        <w:t xml:space="preserve"> Przedmiotem zamówienia jest: 1) Naprawa cząstkowa nawierzchni dróg gminnych położonych na terenie miasta Międzyrzecz (wszystkie ulice asfaltowe położone w Międzyrzeczu oprócz: ul. 30 Stycznia, ul. Poznańskiej, ul. Młyńskiej, ul. Zachodniej, ul. Chopina, ul. Chrobrego, ul. Stoczniowców Gdańskich, ul. Konstytucji 3 Maja, ul. Marcinkowskiego, ul. Staszica, ul. Ks. Skargi, ul. Piastowskiej na odcinku od ul. Chrobrego do ul. Lipce, ul. Reymonta, ul. Przemysłowej, ul. Libelta, ul. Winnica, ul. </w:t>
      </w:r>
      <w:proofErr w:type="spellStart"/>
      <w:r w:rsidRPr="007A69FB">
        <w:rPr>
          <w:rFonts w:eastAsia="Times New Roman" w:cs="Arial CE"/>
          <w:color w:val="000000"/>
          <w:sz w:val="20"/>
          <w:szCs w:val="20"/>
          <w:lang w:eastAsia="pl-PL"/>
        </w:rPr>
        <w:t>Rokitniańskiej</w:t>
      </w:r>
      <w:proofErr w:type="spellEnd"/>
      <w:r w:rsidRPr="007A69FB">
        <w:rPr>
          <w:rFonts w:eastAsia="Times New Roman" w:cs="Arial CE"/>
          <w:color w:val="000000"/>
          <w:sz w:val="20"/>
          <w:szCs w:val="20"/>
          <w:lang w:eastAsia="pl-PL"/>
        </w:rPr>
        <w:t>) oraz dróg asfaltowych na obszarze gminy (w obrębie: Bobowicko, Gorzyca, Kęszyca Leśna, Kaława, Nietoperek, Pniewo, Święty Wojciech, Wojciechówek, Wysoka) polegająca na uzgodnieniu organizacji ruchu na czas prowadzenia robót, zabezpieczeniu placu robót z właściwym jego oznakowaniem, wycięciu łaty, przygotowaniu miejsca wypełnienia poprzez jego dokładne oczyszczenie z wszelkiego rodzaju zanieczyszczenia (przed ułożeniem wypełnienia powierzchnia musi być sucha), wykonaniu pomiarów, przywiezieniu gorącej masy z wyt</w:t>
      </w:r>
      <w:bookmarkStart w:id="0" w:name="_GoBack"/>
      <w:bookmarkEnd w:id="0"/>
      <w:r w:rsidRPr="007A69FB">
        <w:rPr>
          <w:rFonts w:eastAsia="Times New Roman" w:cs="Arial CE"/>
          <w:color w:val="000000"/>
          <w:sz w:val="20"/>
          <w:szCs w:val="20"/>
          <w:lang w:eastAsia="pl-PL"/>
        </w:rPr>
        <w:t xml:space="preserve">wórni mas bitumicznych lub przygotowaniu masy asfaltowej w </w:t>
      </w:r>
      <w:proofErr w:type="spellStart"/>
      <w:r w:rsidRPr="007A69FB">
        <w:rPr>
          <w:rFonts w:eastAsia="Times New Roman" w:cs="Arial CE"/>
          <w:color w:val="000000"/>
          <w:sz w:val="20"/>
          <w:szCs w:val="20"/>
          <w:lang w:eastAsia="pl-PL"/>
        </w:rPr>
        <w:t>recyklerze</w:t>
      </w:r>
      <w:proofErr w:type="spellEnd"/>
      <w:r w:rsidRPr="007A69FB">
        <w:rPr>
          <w:rFonts w:eastAsia="Times New Roman" w:cs="Arial CE"/>
          <w:color w:val="000000"/>
          <w:sz w:val="20"/>
          <w:szCs w:val="20"/>
          <w:lang w:eastAsia="pl-PL"/>
        </w:rPr>
        <w:t xml:space="preserve">, ułożeniu wypełnienia gr. 4 cm masy asfaltowej i wałowaniu, wywiezieniu odpadów, uporządkowaniu terenu po zakończeniu robót: w okresie wiosennym ok. 100 - 200 m2 jednorazowo, w ciągu pozostałych miesięcy 2015 r. w razie potrzeby - po uprzednim pisemnym zgłoszeniu przez Zamawiającego. Wygląd zewnętrzny wypełnienia musi być jednorodny, bez spękań, deformacji, plam i </w:t>
      </w:r>
      <w:proofErr w:type="spellStart"/>
      <w:r w:rsidRPr="007A69FB">
        <w:rPr>
          <w:rFonts w:eastAsia="Times New Roman" w:cs="Arial CE"/>
          <w:color w:val="000000"/>
          <w:sz w:val="20"/>
          <w:szCs w:val="20"/>
          <w:lang w:eastAsia="pl-PL"/>
        </w:rPr>
        <w:t>wykruszeń</w:t>
      </w:r>
      <w:proofErr w:type="spellEnd"/>
      <w:r w:rsidRPr="007A69FB">
        <w:rPr>
          <w:rFonts w:eastAsia="Times New Roman" w:cs="Arial CE"/>
          <w:color w:val="000000"/>
          <w:sz w:val="20"/>
          <w:szCs w:val="20"/>
          <w:lang w:eastAsia="pl-PL"/>
        </w:rPr>
        <w:t xml:space="preserve">. Roboty należy prowadzić przy suchej i ciepłej pogodzie, w temperaturze nie niższej od 100 C i nie dopuszcza się wykonywania naprawy cząstkowej podczas opadów atmosferycznych. 2) Uzupełnienie ubytków w nawierzchni o średniej gł. do 5 cm, grysami i emulsją z </w:t>
      </w:r>
      <w:proofErr w:type="spellStart"/>
      <w:r w:rsidRPr="007A69FB">
        <w:rPr>
          <w:rFonts w:eastAsia="Times New Roman" w:cs="Arial CE"/>
          <w:color w:val="000000"/>
          <w:sz w:val="20"/>
          <w:szCs w:val="20"/>
          <w:lang w:eastAsia="pl-PL"/>
        </w:rPr>
        <w:t>remontera</w:t>
      </w:r>
      <w:proofErr w:type="spellEnd"/>
      <w:r w:rsidRPr="007A69FB">
        <w:rPr>
          <w:rFonts w:eastAsia="Times New Roman" w:cs="Arial CE"/>
          <w:color w:val="000000"/>
          <w:sz w:val="20"/>
          <w:szCs w:val="20"/>
          <w:lang w:eastAsia="pl-PL"/>
        </w:rPr>
        <w:t xml:space="preserve">, polegające na uzgodnieniu organizacji ruchu na czas prowadzenia robót, zabezpieczeniu placu robót z właściwym jego oznakowaniem, usunięciu uszkodzonej części starej nawierzchni, oczyszczeniu i ewentualnym skropieniu dna i krawędzi otworu emulsją asfaltową, wbudowaniu odpowiednich grysów o właściwym uziarnieniu w jednej warstwie lub warstwowo każda warstwa skropiona emulsją zależnie od głębokości, wypełnieniu otworu grysem o właściwej frakcji wprowadzonym pod ciśnieniem po zmieszaniu z emulsją w dyszy </w:t>
      </w:r>
      <w:proofErr w:type="spellStart"/>
      <w:r w:rsidRPr="007A69FB">
        <w:rPr>
          <w:rFonts w:eastAsia="Times New Roman" w:cs="Arial CE"/>
          <w:color w:val="000000"/>
          <w:sz w:val="20"/>
          <w:szCs w:val="20"/>
          <w:lang w:eastAsia="pl-PL"/>
        </w:rPr>
        <w:t>remontera</w:t>
      </w:r>
      <w:proofErr w:type="spellEnd"/>
      <w:r w:rsidRPr="007A69FB">
        <w:rPr>
          <w:rFonts w:eastAsia="Times New Roman" w:cs="Arial CE"/>
          <w:color w:val="000000"/>
          <w:sz w:val="20"/>
          <w:szCs w:val="20"/>
          <w:lang w:eastAsia="pl-PL"/>
        </w:rPr>
        <w:t xml:space="preserve">, zamknięciu całości wypełnienia grysem frakcji 2/4 mm oraz przywałowaniu, obmiarze wykonanych robót, uporządkowaniu terenu po zakończeniu robót: w razie potrzeby - po uprzednim pisemnym zgłoszeniu przez Zamawiającego. Wykonane łaty powinny mieć regularne kształty o bokach prostych, Ziarna grysów w łatach winne być mocno osadzone. Łaty nie mogą wystawać ponad powierzchnię istniejącej warstwy ścieralnej więcej niż 4 mm. 3) Frezowanie zniszczonej górnej warstwy nawierzchni dróg gminnych położonych w obrębie miasta Międzyrzecz polegające na uzgodnieniu organizacji ruchu na czas prowadzenia robót, zabezpieczeniu placu robót z właściwym jego oznakowaniem, wykonaniu prac pomiarowych i robót przygotowawczych, frezowaniu na gr. 4 cm zniszczonej górnej warstwy nawierzchni z przewiezieniem destruktu, wywiezieniu odpadów, uporządkowaniu terenu po zakończeniu robót: w razie potrzeby - po uprzednim pisemnym zgłoszeniu przez Zamawiającego. 4) Regulacja studzienek i wpustów ulicznych położonych w Międzyrzeczu i w Kęszycy Leśnej polegająca na uzgodnieniu organizacji ruchu na czas prowadzenia robót, zabezpieczeniu placu robót z właściwym jego oznakowaniem, miejscowym rozebraniu nawierzchni jezdni, obniżeniu lub podwyższeniu studzienki lub wpustu ulicznego do poziomu nawierzchni jezdni umożliwiający spływ wód deszczowych i swobodny przejazd pojazdów, odtworzeniu nawierzchni, uporządkowaniu terenu po zakończeniu robót: w razie potrzeby - po uprzednim pisemnym zgłoszeniu przez Zamawiającego. 5) Przewidywana powierzchnia do naprawy: do 1.000 m2. Wskazane ilości są wielkościami </w:t>
      </w:r>
      <w:r w:rsidRPr="007A69FB">
        <w:rPr>
          <w:rFonts w:eastAsia="Times New Roman" w:cs="Arial CE"/>
          <w:color w:val="000000"/>
          <w:sz w:val="20"/>
          <w:szCs w:val="20"/>
          <w:lang w:eastAsia="pl-PL"/>
        </w:rPr>
        <w:lastRenderedPageBreak/>
        <w:t>orientacyjnymi, ustalonymi na podstawie analogicznego zamówienia zrealizowanego w latach ubiegłych oraz jako przewidywane zapotrzebowanie na prace będące przedmiotem umowy w okresie realizacji umowy. Ilości te przyjęte będą do wyceny i porównania ofert oraz wyboru oferty najkorzystniejszej, jednakże Zamawiający może zrealizować umowę zgodnie z aktualnym zapotrzebowaniem, do wysokości zabezpieczonych w umowie środków, a Wykonawcy nie służy roszczenie o realizację robót w podanych wielkościach. Zamawiający zastrzega sobie możliwość zmiany ilości robót, na rzecz innych stanowiących przedmiot zamówienia. 3.2. Prace ww. mają być wykonywane z zachowaniem zasad bezpieczeństwa i zgodnie z obowiązującymi przepisami. Za ewentualne zdarzenia na terenie, na którym będą wykonywane prace odpowiedzialność ponosi wykonawca..</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II.1.5) przewiduje się udzielenie zamówień uzupełniających:</w:t>
      </w:r>
    </w:p>
    <w:p w:rsidR="007A69FB" w:rsidRPr="007A69FB" w:rsidRDefault="007A69FB" w:rsidP="007A69FB">
      <w:pPr>
        <w:numPr>
          <w:ilvl w:val="0"/>
          <w:numId w:val="2"/>
        </w:numPr>
        <w:spacing w:after="0" w:line="240" w:lineRule="auto"/>
        <w:ind w:left="450"/>
        <w:rPr>
          <w:rFonts w:eastAsia="Times New Roman" w:cs="Arial CE"/>
          <w:color w:val="000000"/>
          <w:sz w:val="20"/>
          <w:szCs w:val="20"/>
          <w:lang w:eastAsia="pl-PL"/>
        </w:rPr>
      </w:pPr>
      <w:r w:rsidRPr="007A69FB">
        <w:rPr>
          <w:rFonts w:eastAsia="Times New Roman" w:cs="Arial CE"/>
          <w:b/>
          <w:bCs/>
          <w:color w:val="000000"/>
          <w:sz w:val="20"/>
          <w:szCs w:val="20"/>
          <w:lang w:eastAsia="pl-PL"/>
        </w:rPr>
        <w:t>Określenie przedmiotu oraz wielkości lub zakresu zamówień uzupełniających</w:t>
      </w:r>
    </w:p>
    <w:p w:rsidR="007A69FB" w:rsidRPr="007A69FB" w:rsidRDefault="007A69FB" w:rsidP="007A69FB">
      <w:pPr>
        <w:numPr>
          <w:ilvl w:val="0"/>
          <w:numId w:val="2"/>
        </w:numPr>
        <w:spacing w:after="0" w:line="240" w:lineRule="auto"/>
        <w:ind w:left="450"/>
        <w:rPr>
          <w:rFonts w:eastAsia="Times New Roman" w:cs="Arial CE"/>
          <w:color w:val="000000"/>
          <w:sz w:val="20"/>
          <w:szCs w:val="20"/>
          <w:lang w:eastAsia="pl-PL"/>
        </w:rPr>
      </w:pPr>
      <w:r w:rsidRPr="007A69FB">
        <w:rPr>
          <w:rFonts w:eastAsia="Times New Roman" w:cs="Arial CE"/>
          <w:color w:val="000000"/>
          <w:sz w:val="20"/>
          <w:szCs w:val="20"/>
          <w:lang w:eastAsia="pl-PL"/>
        </w:rPr>
        <w:t>Zamawiający informuje, że dopuszcza możliwość udzielenia zamówień uzupełniających na podstawie art. 67 ust.1 pkt 6 ustawy, stanowiących nie więcej niż 50% wartości zamówienia podstawowego i polegających na powtórzeniu tego samego rodzaju zamówień, w okresie 3 lat od udzielenia zamówienia podstawowego.</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II.1.6) Wspólny Słownik Zamówień (CPV):</w:t>
      </w:r>
      <w:r w:rsidRPr="007A69FB">
        <w:rPr>
          <w:rFonts w:eastAsia="Times New Roman" w:cs="Arial CE"/>
          <w:color w:val="000000"/>
          <w:sz w:val="20"/>
          <w:szCs w:val="20"/>
          <w:lang w:eastAsia="pl-PL"/>
        </w:rPr>
        <w:t> 50.00.00.00-5.</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II.1.7) Czy dopuszcza się złożenie oferty częściowej:</w:t>
      </w:r>
      <w:r w:rsidRPr="007A69FB">
        <w:rPr>
          <w:rFonts w:eastAsia="Times New Roman" w:cs="Arial CE"/>
          <w:color w:val="000000"/>
          <w:sz w:val="20"/>
          <w:szCs w:val="20"/>
          <w:lang w:eastAsia="pl-PL"/>
        </w:rPr>
        <w:t> nie.</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II.1.8) Czy dopuszcza się złożenie oferty wariantowej:</w:t>
      </w:r>
      <w:r w:rsidRPr="007A69FB">
        <w:rPr>
          <w:rFonts w:eastAsia="Times New Roman" w:cs="Arial CE"/>
          <w:color w:val="000000"/>
          <w:sz w:val="20"/>
          <w:szCs w:val="20"/>
          <w:lang w:eastAsia="pl-PL"/>
        </w:rPr>
        <w:t> nie.</w:t>
      </w:r>
    </w:p>
    <w:p w:rsidR="007A69FB" w:rsidRPr="007A69FB" w:rsidRDefault="007A69FB" w:rsidP="007A69FB">
      <w:pPr>
        <w:spacing w:after="0" w:line="240" w:lineRule="auto"/>
        <w:rPr>
          <w:rFonts w:eastAsia="Times New Roman" w:cs="Times New Roman"/>
          <w:sz w:val="20"/>
          <w:szCs w:val="20"/>
          <w:lang w:eastAsia="pl-PL"/>
        </w:rPr>
      </w:pPr>
      <w:r w:rsidRPr="007A69FB">
        <w:rPr>
          <w:rFonts w:eastAsia="Times New Roman" w:cs="Arial CE"/>
          <w:color w:val="000000"/>
          <w:sz w:val="20"/>
          <w:szCs w:val="20"/>
          <w:lang w:eastAsia="pl-PL"/>
        </w:rPr>
        <w:br/>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II.2) CZAS TRWANIA ZAMÓWIENIA LUB TERMIN WYKONANIA:</w:t>
      </w:r>
      <w:r w:rsidRPr="007A69FB">
        <w:rPr>
          <w:rFonts w:eastAsia="Times New Roman" w:cs="Arial CE"/>
          <w:color w:val="000000"/>
          <w:sz w:val="20"/>
          <w:szCs w:val="20"/>
          <w:lang w:eastAsia="pl-PL"/>
        </w:rPr>
        <w:t> Zakończenie: 31.12.2015.</w:t>
      </w:r>
    </w:p>
    <w:p w:rsidR="007A69FB" w:rsidRPr="007A69FB" w:rsidRDefault="007A69FB" w:rsidP="007A69FB">
      <w:pPr>
        <w:spacing w:after="0" w:line="240" w:lineRule="auto"/>
        <w:rPr>
          <w:rFonts w:eastAsia="Times New Roman" w:cs="Arial CE"/>
          <w:b/>
          <w:bCs/>
          <w:color w:val="000000"/>
          <w:sz w:val="20"/>
          <w:szCs w:val="20"/>
          <w:u w:val="single"/>
          <w:lang w:eastAsia="pl-PL"/>
        </w:rPr>
      </w:pPr>
      <w:r w:rsidRPr="007A69FB">
        <w:rPr>
          <w:rFonts w:eastAsia="Times New Roman" w:cs="Arial CE"/>
          <w:b/>
          <w:bCs/>
          <w:color w:val="000000"/>
          <w:sz w:val="20"/>
          <w:szCs w:val="20"/>
          <w:u w:val="single"/>
          <w:lang w:eastAsia="pl-PL"/>
        </w:rPr>
        <w:t>SEKCJA III: INFORMACJE O CHARAKTERZE PRAWNYM, EKONOMICZNYM, FINANSOWYM I TECHNICZNYM</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III.1) WADIUM</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Informacja na temat wadium:</w:t>
      </w:r>
      <w:r w:rsidRPr="007A69FB">
        <w:rPr>
          <w:rFonts w:eastAsia="Times New Roman" w:cs="Arial CE"/>
          <w:color w:val="000000"/>
          <w:sz w:val="20"/>
          <w:szCs w:val="20"/>
          <w:lang w:eastAsia="pl-PL"/>
        </w:rPr>
        <w:t> Zamawiający nie żąda wniesienia wadium.</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III.2) ZALICZKI</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III.3) WARUNKI UDZIAŁU W POSTĘPOWANIU ORAZ OPIS SPOSOBU DOKONYWANIA OCENY SPEŁNIANIA TYCH WARUNKÓW</w:t>
      </w:r>
    </w:p>
    <w:p w:rsidR="007A69FB" w:rsidRPr="007A69FB" w:rsidRDefault="007A69FB" w:rsidP="007A69FB">
      <w:pPr>
        <w:numPr>
          <w:ilvl w:val="0"/>
          <w:numId w:val="3"/>
        </w:numPr>
        <w:spacing w:after="0" w:line="240" w:lineRule="auto"/>
        <w:ind w:left="675"/>
        <w:rPr>
          <w:rFonts w:eastAsia="Times New Roman" w:cs="Arial CE"/>
          <w:color w:val="000000"/>
          <w:sz w:val="20"/>
          <w:szCs w:val="20"/>
          <w:lang w:eastAsia="pl-PL"/>
        </w:rPr>
      </w:pPr>
      <w:r w:rsidRPr="007A69FB">
        <w:rPr>
          <w:rFonts w:eastAsia="Times New Roman" w:cs="Arial CE"/>
          <w:b/>
          <w:bCs/>
          <w:color w:val="000000"/>
          <w:sz w:val="20"/>
          <w:szCs w:val="20"/>
          <w:lang w:eastAsia="pl-PL"/>
        </w:rPr>
        <w:t>III. 3.1) Uprawnienia do wykonywania określonej działalności lub czynności, jeżeli przepisy prawa nakładają obowiązek ich posiadania</w:t>
      </w:r>
    </w:p>
    <w:p w:rsidR="007A69FB" w:rsidRPr="007A69FB" w:rsidRDefault="007A69FB" w:rsidP="007A69FB">
      <w:pPr>
        <w:spacing w:after="0" w:line="240" w:lineRule="auto"/>
        <w:ind w:left="675"/>
        <w:rPr>
          <w:rFonts w:eastAsia="Times New Roman" w:cs="Arial CE"/>
          <w:color w:val="000000"/>
          <w:sz w:val="20"/>
          <w:szCs w:val="20"/>
          <w:lang w:eastAsia="pl-PL"/>
        </w:rPr>
      </w:pPr>
      <w:r w:rsidRPr="007A69FB">
        <w:rPr>
          <w:rFonts w:eastAsia="Times New Roman" w:cs="Arial CE"/>
          <w:b/>
          <w:bCs/>
          <w:color w:val="000000"/>
          <w:sz w:val="20"/>
          <w:szCs w:val="20"/>
          <w:lang w:eastAsia="pl-PL"/>
        </w:rPr>
        <w:t>Opis sposobu dokonywania oceny spełniania tego warunku</w:t>
      </w:r>
    </w:p>
    <w:p w:rsidR="007A69FB" w:rsidRPr="007A69FB" w:rsidRDefault="007A69FB" w:rsidP="007A69FB">
      <w:pPr>
        <w:numPr>
          <w:ilvl w:val="1"/>
          <w:numId w:val="3"/>
        </w:numPr>
        <w:spacing w:after="0" w:line="240" w:lineRule="auto"/>
        <w:ind w:left="1125"/>
        <w:rPr>
          <w:rFonts w:eastAsia="Times New Roman" w:cs="Arial CE"/>
          <w:color w:val="000000"/>
          <w:sz w:val="20"/>
          <w:szCs w:val="20"/>
          <w:lang w:eastAsia="pl-PL"/>
        </w:rPr>
      </w:pPr>
      <w:r w:rsidRPr="007A69FB">
        <w:rPr>
          <w:rFonts w:eastAsia="Times New Roman" w:cs="Arial CE"/>
          <w:color w:val="000000"/>
          <w:sz w:val="20"/>
          <w:szCs w:val="20"/>
          <w:lang w:eastAsia="pl-PL"/>
        </w:rPr>
        <w:t>Zamawiający odstępuje od dokonania opisu sposobu oceny spełniania warunku w postępowaniu</w:t>
      </w:r>
    </w:p>
    <w:p w:rsidR="007A69FB" w:rsidRPr="007A69FB" w:rsidRDefault="007A69FB" w:rsidP="007A69FB">
      <w:pPr>
        <w:numPr>
          <w:ilvl w:val="0"/>
          <w:numId w:val="3"/>
        </w:numPr>
        <w:spacing w:after="0" w:line="240" w:lineRule="auto"/>
        <w:ind w:left="675"/>
        <w:rPr>
          <w:rFonts w:eastAsia="Times New Roman" w:cs="Arial CE"/>
          <w:color w:val="000000"/>
          <w:sz w:val="20"/>
          <w:szCs w:val="20"/>
          <w:lang w:eastAsia="pl-PL"/>
        </w:rPr>
      </w:pPr>
      <w:r w:rsidRPr="007A69FB">
        <w:rPr>
          <w:rFonts w:eastAsia="Times New Roman" w:cs="Arial CE"/>
          <w:b/>
          <w:bCs/>
          <w:color w:val="000000"/>
          <w:sz w:val="20"/>
          <w:szCs w:val="20"/>
          <w:lang w:eastAsia="pl-PL"/>
        </w:rPr>
        <w:t>III.3.2) Wiedza i doświadczenie</w:t>
      </w:r>
    </w:p>
    <w:p w:rsidR="007A69FB" w:rsidRPr="007A69FB" w:rsidRDefault="007A69FB" w:rsidP="007A69FB">
      <w:pPr>
        <w:spacing w:after="0" w:line="240" w:lineRule="auto"/>
        <w:ind w:left="675"/>
        <w:rPr>
          <w:rFonts w:eastAsia="Times New Roman" w:cs="Arial CE"/>
          <w:color w:val="000000"/>
          <w:sz w:val="20"/>
          <w:szCs w:val="20"/>
          <w:lang w:eastAsia="pl-PL"/>
        </w:rPr>
      </w:pPr>
      <w:r w:rsidRPr="007A69FB">
        <w:rPr>
          <w:rFonts w:eastAsia="Times New Roman" w:cs="Arial CE"/>
          <w:b/>
          <w:bCs/>
          <w:color w:val="000000"/>
          <w:sz w:val="20"/>
          <w:szCs w:val="20"/>
          <w:lang w:eastAsia="pl-PL"/>
        </w:rPr>
        <w:t>Opis sposobu dokonywania oceny spełniania tego warunku</w:t>
      </w:r>
    </w:p>
    <w:p w:rsidR="007A69FB" w:rsidRPr="007A69FB" w:rsidRDefault="007A69FB" w:rsidP="007A69FB">
      <w:pPr>
        <w:numPr>
          <w:ilvl w:val="1"/>
          <w:numId w:val="3"/>
        </w:numPr>
        <w:spacing w:after="0" w:line="240" w:lineRule="auto"/>
        <w:ind w:left="1125"/>
        <w:rPr>
          <w:rFonts w:eastAsia="Times New Roman" w:cs="Arial CE"/>
          <w:color w:val="000000"/>
          <w:sz w:val="20"/>
          <w:szCs w:val="20"/>
          <w:lang w:eastAsia="pl-PL"/>
        </w:rPr>
      </w:pPr>
      <w:r w:rsidRPr="007A69FB">
        <w:rPr>
          <w:rFonts w:eastAsia="Times New Roman" w:cs="Arial CE"/>
          <w:color w:val="000000"/>
          <w:sz w:val="20"/>
          <w:szCs w:val="20"/>
          <w:lang w:eastAsia="pl-PL"/>
        </w:rPr>
        <w:t>Zamawiający dokona oceny za zasadzie spełnia - nie spełnia, na podstawie złożonego wykazu wykonanych, a w przypadku świadczeń okresowych lub ciągłych również wykonywanych usług, w okresie ostatnich trzech lat przed upływem terminu składania ofert, a jeżeli okres prowadzenia działalności jest krótszy - w tym okresie. Wykonawca musi wykazać się realizacją co najmniej 3 usług o charakterze i złożoności porównywalnej z zakresem zadań będących przedmiotem zamówienia, tj. naprawa lub remont dróg o nawierzchni asfaltowej o łącznej powierzchni minimum 1 000 m2 z potwierdzonych dowodami, że usługi zostały wykonane lub są wykonywane należycie.</w:t>
      </w:r>
    </w:p>
    <w:p w:rsidR="007A69FB" w:rsidRPr="007A69FB" w:rsidRDefault="007A69FB" w:rsidP="007A69FB">
      <w:pPr>
        <w:numPr>
          <w:ilvl w:val="0"/>
          <w:numId w:val="3"/>
        </w:numPr>
        <w:spacing w:after="0" w:line="240" w:lineRule="auto"/>
        <w:ind w:left="675"/>
        <w:rPr>
          <w:rFonts w:eastAsia="Times New Roman" w:cs="Arial CE"/>
          <w:color w:val="000000"/>
          <w:sz w:val="20"/>
          <w:szCs w:val="20"/>
          <w:lang w:eastAsia="pl-PL"/>
        </w:rPr>
      </w:pPr>
      <w:r w:rsidRPr="007A69FB">
        <w:rPr>
          <w:rFonts w:eastAsia="Times New Roman" w:cs="Arial CE"/>
          <w:b/>
          <w:bCs/>
          <w:color w:val="000000"/>
          <w:sz w:val="20"/>
          <w:szCs w:val="20"/>
          <w:lang w:eastAsia="pl-PL"/>
        </w:rPr>
        <w:t>III.3.3) Potencjał techniczny</w:t>
      </w:r>
    </w:p>
    <w:p w:rsidR="007A69FB" w:rsidRPr="007A69FB" w:rsidRDefault="007A69FB" w:rsidP="007A69FB">
      <w:pPr>
        <w:spacing w:after="0" w:line="240" w:lineRule="auto"/>
        <w:ind w:left="675"/>
        <w:rPr>
          <w:rFonts w:eastAsia="Times New Roman" w:cs="Arial CE"/>
          <w:color w:val="000000"/>
          <w:sz w:val="20"/>
          <w:szCs w:val="20"/>
          <w:lang w:eastAsia="pl-PL"/>
        </w:rPr>
      </w:pPr>
      <w:r w:rsidRPr="007A69FB">
        <w:rPr>
          <w:rFonts w:eastAsia="Times New Roman" w:cs="Arial CE"/>
          <w:b/>
          <w:bCs/>
          <w:color w:val="000000"/>
          <w:sz w:val="20"/>
          <w:szCs w:val="20"/>
          <w:lang w:eastAsia="pl-PL"/>
        </w:rPr>
        <w:t>Opis sposobu dokonywania oceny spełniania tego warunku</w:t>
      </w:r>
    </w:p>
    <w:p w:rsidR="007A69FB" w:rsidRPr="007A69FB" w:rsidRDefault="007A69FB" w:rsidP="007A69FB">
      <w:pPr>
        <w:numPr>
          <w:ilvl w:val="1"/>
          <w:numId w:val="3"/>
        </w:numPr>
        <w:spacing w:after="0" w:line="240" w:lineRule="auto"/>
        <w:ind w:left="1125"/>
        <w:rPr>
          <w:rFonts w:eastAsia="Times New Roman" w:cs="Arial CE"/>
          <w:color w:val="000000"/>
          <w:sz w:val="20"/>
          <w:szCs w:val="20"/>
          <w:lang w:eastAsia="pl-PL"/>
        </w:rPr>
      </w:pPr>
      <w:r w:rsidRPr="007A69FB">
        <w:rPr>
          <w:rFonts w:eastAsia="Times New Roman" w:cs="Arial CE"/>
          <w:color w:val="000000"/>
          <w:sz w:val="20"/>
          <w:szCs w:val="20"/>
          <w:lang w:eastAsia="pl-PL"/>
        </w:rPr>
        <w:t xml:space="preserve">Zamawiający dokona oceny za zasadzie spełnia - nie spełnia, na podstawie złożonego wykazu narzędzi i urządzeń technicznych dostępnych wykonawcy usług w celu realizacji zamówienia. Wykonawca muszą dysponować minimum następującymi urządzeniami: </w:t>
      </w:r>
      <w:proofErr w:type="spellStart"/>
      <w:r w:rsidRPr="007A69FB">
        <w:rPr>
          <w:rFonts w:eastAsia="Times New Roman" w:cs="Arial CE"/>
          <w:color w:val="000000"/>
          <w:sz w:val="20"/>
          <w:szCs w:val="20"/>
          <w:lang w:eastAsia="pl-PL"/>
        </w:rPr>
        <w:t>recykler</w:t>
      </w:r>
      <w:proofErr w:type="spellEnd"/>
      <w:r w:rsidRPr="007A69FB">
        <w:rPr>
          <w:rFonts w:eastAsia="Times New Roman" w:cs="Arial CE"/>
          <w:color w:val="000000"/>
          <w:sz w:val="20"/>
          <w:szCs w:val="20"/>
          <w:lang w:eastAsia="pl-PL"/>
        </w:rPr>
        <w:t xml:space="preserve">, zagęszczarka wibracyjna, piła do cięcia asfaltu, młot wyburzeniowy, agregat prądotwórczy, walec, </w:t>
      </w:r>
      <w:proofErr w:type="spellStart"/>
      <w:r w:rsidRPr="007A69FB">
        <w:rPr>
          <w:rFonts w:eastAsia="Times New Roman" w:cs="Arial CE"/>
          <w:color w:val="000000"/>
          <w:sz w:val="20"/>
          <w:szCs w:val="20"/>
          <w:lang w:eastAsia="pl-PL"/>
        </w:rPr>
        <w:t>remonter</w:t>
      </w:r>
      <w:proofErr w:type="spellEnd"/>
      <w:r w:rsidRPr="007A69FB">
        <w:rPr>
          <w:rFonts w:eastAsia="Times New Roman" w:cs="Arial CE"/>
          <w:color w:val="000000"/>
          <w:sz w:val="20"/>
          <w:szCs w:val="20"/>
          <w:lang w:eastAsia="pl-PL"/>
        </w:rPr>
        <w:t xml:space="preserve"> drogowy.</w:t>
      </w:r>
    </w:p>
    <w:p w:rsidR="007A69FB" w:rsidRPr="007A69FB" w:rsidRDefault="007A69FB" w:rsidP="007A69FB">
      <w:pPr>
        <w:numPr>
          <w:ilvl w:val="0"/>
          <w:numId w:val="3"/>
        </w:numPr>
        <w:spacing w:after="0" w:line="240" w:lineRule="auto"/>
        <w:ind w:left="675"/>
        <w:rPr>
          <w:rFonts w:eastAsia="Times New Roman" w:cs="Arial CE"/>
          <w:color w:val="000000"/>
          <w:sz w:val="20"/>
          <w:szCs w:val="20"/>
          <w:lang w:eastAsia="pl-PL"/>
        </w:rPr>
      </w:pPr>
      <w:r w:rsidRPr="007A69FB">
        <w:rPr>
          <w:rFonts w:eastAsia="Times New Roman" w:cs="Arial CE"/>
          <w:b/>
          <w:bCs/>
          <w:color w:val="000000"/>
          <w:sz w:val="20"/>
          <w:szCs w:val="20"/>
          <w:lang w:eastAsia="pl-PL"/>
        </w:rPr>
        <w:t>III.3.4) Osoby zdolne do wykonania zamówienia</w:t>
      </w:r>
    </w:p>
    <w:p w:rsidR="007A69FB" w:rsidRPr="007A69FB" w:rsidRDefault="007A69FB" w:rsidP="007A69FB">
      <w:pPr>
        <w:spacing w:after="0" w:line="240" w:lineRule="auto"/>
        <w:ind w:left="675"/>
        <w:rPr>
          <w:rFonts w:eastAsia="Times New Roman" w:cs="Arial CE"/>
          <w:color w:val="000000"/>
          <w:sz w:val="20"/>
          <w:szCs w:val="20"/>
          <w:lang w:eastAsia="pl-PL"/>
        </w:rPr>
      </w:pPr>
      <w:r w:rsidRPr="007A69FB">
        <w:rPr>
          <w:rFonts w:eastAsia="Times New Roman" w:cs="Arial CE"/>
          <w:b/>
          <w:bCs/>
          <w:color w:val="000000"/>
          <w:sz w:val="20"/>
          <w:szCs w:val="20"/>
          <w:lang w:eastAsia="pl-PL"/>
        </w:rPr>
        <w:t>Opis sposobu dokonywania oceny spełniania tego warunku</w:t>
      </w:r>
    </w:p>
    <w:p w:rsidR="007A69FB" w:rsidRPr="007A69FB" w:rsidRDefault="007A69FB" w:rsidP="007A69FB">
      <w:pPr>
        <w:numPr>
          <w:ilvl w:val="1"/>
          <w:numId w:val="3"/>
        </w:numPr>
        <w:spacing w:after="0" w:line="240" w:lineRule="auto"/>
        <w:ind w:left="1125"/>
        <w:rPr>
          <w:rFonts w:eastAsia="Times New Roman" w:cs="Arial CE"/>
          <w:color w:val="000000"/>
          <w:sz w:val="20"/>
          <w:szCs w:val="20"/>
          <w:lang w:eastAsia="pl-PL"/>
        </w:rPr>
      </w:pPr>
      <w:r w:rsidRPr="007A69FB">
        <w:rPr>
          <w:rFonts w:eastAsia="Times New Roman" w:cs="Arial CE"/>
          <w:color w:val="000000"/>
          <w:sz w:val="20"/>
          <w:szCs w:val="20"/>
          <w:lang w:eastAsia="pl-PL"/>
        </w:rPr>
        <w:t xml:space="preserve">Zamawiający dokona oceny za zasadzie spełnia - nie spełnia, na podstawie złożonego wykazu osób, które będą uczestniczyć w wykonywaniu zamówienia. Wykonawca musi wykazać, że dysponuje osobą zdolną do wykonania zamówienia, która będzie uczestniczyć w wykonywaniu zamówienia, w szczególności odpowiedzialną za świadczenie usług oraz informacją o podstawie do dysponowania tą osobą, posiadającą zgodnie z ustawą z dnia 7 lipca 1994 r. - Prawo budowlane (Dz. U. z 2010 r. Nr 243, poz. 1623 z </w:t>
      </w:r>
      <w:proofErr w:type="spellStart"/>
      <w:r w:rsidRPr="007A69FB">
        <w:rPr>
          <w:rFonts w:eastAsia="Times New Roman" w:cs="Arial CE"/>
          <w:color w:val="000000"/>
          <w:sz w:val="20"/>
          <w:szCs w:val="20"/>
          <w:lang w:eastAsia="pl-PL"/>
        </w:rPr>
        <w:t>późn</w:t>
      </w:r>
      <w:proofErr w:type="spellEnd"/>
      <w:r w:rsidRPr="007A69FB">
        <w:rPr>
          <w:rFonts w:eastAsia="Times New Roman" w:cs="Arial CE"/>
          <w:color w:val="000000"/>
          <w:sz w:val="20"/>
          <w:szCs w:val="20"/>
          <w:lang w:eastAsia="pl-PL"/>
        </w:rPr>
        <w:t xml:space="preserve">. zm.) uprawnienia do kierowania robotami </w:t>
      </w:r>
      <w:r w:rsidRPr="007A69FB">
        <w:rPr>
          <w:rFonts w:eastAsia="Times New Roman" w:cs="Arial CE"/>
          <w:color w:val="000000"/>
          <w:sz w:val="20"/>
          <w:szCs w:val="20"/>
          <w:lang w:eastAsia="pl-PL"/>
        </w:rPr>
        <w:lastRenderedPageBreak/>
        <w:t>budowlanymi w specjalności drogowej lub odpowiadające im ważne uprawnienia budowlane wydane na podstawie wcześniej obowiązujących przepisów.</w:t>
      </w:r>
    </w:p>
    <w:p w:rsidR="007A69FB" w:rsidRPr="007A69FB" w:rsidRDefault="007A69FB" w:rsidP="007A69FB">
      <w:pPr>
        <w:numPr>
          <w:ilvl w:val="0"/>
          <w:numId w:val="3"/>
        </w:numPr>
        <w:spacing w:after="0" w:line="240" w:lineRule="auto"/>
        <w:ind w:left="675"/>
        <w:rPr>
          <w:rFonts w:eastAsia="Times New Roman" w:cs="Arial CE"/>
          <w:color w:val="000000"/>
          <w:sz w:val="20"/>
          <w:szCs w:val="20"/>
          <w:lang w:eastAsia="pl-PL"/>
        </w:rPr>
      </w:pPr>
      <w:r w:rsidRPr="007A69FB">
        <w:rPr>
          <w:rFonts w:eastAsia="Times New Roman" w:cs="Arial CE"/>
          <w:b/>
          <w:bCs/>
          <w:color w:val="000000"/>
          <w:sz w:val="20"/>
          <w:szCs w:val="20"/>
          <w:lang w:eastAsia="pl-PL"/>
        </w:rPr>
        <w:t>III.3.5) Sytuacja ekonomiczna i finansowa</w:t>
      </w:r>
    </w:p>
    <w:p w:rsidR="007A69FB" w:rsidRPr="007A69FB" w:rsidRDefault="007A69FB" w:rsidP="007A69FB">
      <w:pPr>
        <w:spacing w:after="0" w:line="240" w:lineRule="auto"/>
        <w:ind w:left="675"/>
        <w:rPr>
          <w:rFonts w:eastAsia="Times New Roman" w:cs="Arial CE"/>
          <w:color w:val="000000"/>
          <w:sz w:val="20"/>
          <w:szCs w:val="20"/>
          <w:lang w:eastAsia="pl-PL"/>
        </w:rPr>
      </w:pPr>
      <w:r w:rsidRPr="007A69FB">
        <w:rPr>
          <w:rFonts w:eastAsia="Times New Roman" w:cs="Arial CE"/>
          <w:b/>
          <w:bCs/>
          <w:color w:val="000000"/>
          <w:sz w:val="20"/>
          <w:szCs w:val="20"/>
          <w:lang w:eastAsia="pl-PL"/>
        </w:rPr>
        <w:t>Opis sposobu dokonywania oceny spełniania tego warunku</w:t>
      </w:r>
    </w:p>
    <w:p w:rsidR="007A69FB" w:rsidRPr="007A69FB" w:rsidRDefault="007A69FB" w:rsidP="007A69FB">
      <w:pPr>
        <w:numPr>
          <w:ilvl w:val="1"/>
          <w:numId w:val="3"/>
        </w:numPr>
        <w:spacing w:after="0" w:line="240" w:lineRule="auto"/>
        <w:ind w:left="1125"/>
        <w:rPr>
          <w:rFonts w:eastAsia="Times New Roman" w:cs="Arial CE"/>
          <w:color w:val="000000"/>
          <w:sz w:val="20"/>
          <w:szCs w:val="20"/>
          <w:lang w:eastAsia="pl-PL"/>
        </w:rPr>
      </w:pPr>
      <w:r w:rsidRPr="007A69FB">
        <w:rPr>
          <w:rFonts w:eastAsia="Times New Roman" w:cs="Arial CE"/>
          <w:color w:val="000000"/>
          <w:sz w:val="20"/>
          <w:szCs w:val="20"/>
          <w:lang w:eastAsia="pl-PL"/>
        </w:rPr>
        <w:t>Zamawiający odstępuje od dokonania opisu sposobu oceny spełniania warunku w postępowaniu.</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7A69FB" w:rsidRPr="007A69FB" w:rsidRDefault="007A69FB" w:rsidP="007A69FB">
      <w:pPr>
        <w:numPr>
          <w:ilvl w:val="0"/>
          <w:numId w:val="4"/>
        </w:numPr>
        <w:spacing w:after="0" w:line="240" w:lineRule="auto"/>
        <w:ind w:right="300"/>
        <w:jc w:val="both"/>
        <w:rPr>
          <w:rFonts w:eastAsia="Times New Roman" w:cs="Arial CE"/>
          <w:color w:val="000000"/>
          <w:sz w:val="20"/>
          <w:szCs w:val="20"/>
          <w:lang w:eastAsia="pl-PL"/>
        </w:rPr>
      </w:pPr>
      <w:r w:rsidRPr="007A69FB">
        <w:rPr>
          <w:rFonts w:eastAsia="Times New Roman" w:cs="Arial CE"/>
          <w:color w:val="000000"/>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A69FB" w:rsidRPr="007A69FB" w:rsidRDefault="007A69FB" w:rsidP="007A69FB">
      <w:pPr>
        <w:numPr>
          <w:ilvl w:val="0"/>
          <w:numId w:val="4"/>
        </w:numPr>
        <w:spacing w:after="0" w:line="240" w:lineRule="auto"/>
        <w:ind w:right="300"/>
        <w:jc w:val="both"/>
        <w:rPr>
          <w:rFonts w:eastAsia="Times New Roman" w:cs="Arial CE"/>
          <w:color w:val="000000"/>
          <w:sz w:val="20"/>
          <w:szCs w:val="20"/>
          <w:lang w:eastAsia="pl-PL"/>
        </w:rPr>
      </w:pPr>
      <w:r w:rsidRPr="007A69FB">
        <w:rPr>
          <w:rFonts w:eastAsia="Times New Roman" w:cs="Arial CE"/>
          <w:color w:val="000000"/>
          <w:sz w:val="20"/>
          <w:szCs w:val="20"/>
          <w:lang w:eastAsia="pl-PL"/>
        </w:rPr>
        <w:t>wykaz narzędzi, wyposażenia zakładu i urządzeń technicznych dostępnych wykonawcy usług lub robót budowlanych w celu wykonania zamówienia wraz z informacją o podstawie do dysponowania tymi zasobami;</w:t>
      </w:r>
    </w:p>
    <w:p w:rsidR="007A69FB" w:rsidRPr="007A69FB" w:rsidRDefault="007A69FB" w:rsidP="007A69FB">
      <w:pPr>
        <w:numPr>
          <w:ilvl w:val="0"/>
          <w:numId w:val="4"/>
        </w:numPr>
        <w:spacing w:after="0" w:line="240" w:lineRule="auto"/>
        <w:ind w:right="300"/>
        <w:jc w:val="both"/>
        <w:rPr>
          <w:rFonts w:eastAsia="Times New Roman" w:cs="Arial CE"/>
          <w:color w:val="000000"/>
          <w:sz w:val="20"/>
          <w:szCs w:val="20"/>
          <w:lang w:eastAsia="pl-PL"/>
        </w:rPr>
      </w:pPr>
      <w:r w:rsidRPr="007A69FB">
        <w:rPr>
          <w:rFonts w:eastAsia="Times New Roman" w:cs="Arial CE"/>
          <w:color w:val="000000"/>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A69FB" w:rsidRPr="007A69FB" w:rsidRDefault="007A69FB" w:rsidP="007A69FB">
      <w:pPr>
        <w:numPr>
          <w:ilvl w:val="0"/>
          <w:numId w:val="4"/>
        </w:numPr>
        <w:spacing w:after="0" w:line="240" w:lineRule="auto"/>
        <w:ind w:right="300"/>
        <w:jc w:val="both"/>
        <w:rPr>
          <w:rFonts w:eastAsia="Times New Roman" w:cs="Arial CE"/>
          <w:color w:val="000000"/>
          <w:sz w:val="20"/>
          <w:szCs w:val="20"/>
          <w:lang w:eastAsia="pl-PL"/>
        </w:rPr>
      </w:pPr>
      <w:r w:rsidRPr="007A69FB">
        <w:rPr>
          <w:rFonts w:eastAsia="Times New Roman" w:cs="Arial CE"/>
          <w:color w:val="000000"/>
          <w:sz w:val="20"/>
          <w:szCs w:val="20"/>
          <w:lang w:eastAsia="pl-PL"/>
        </w:rPr>
        <w:t>oświadczenie, że osoby, które będą uczestniczyć w wykonywaniu zamówienia, posiadają wymagane uprawnienia, jeżeli ustawy nakładają obowiązek posiadania takich uprawnień;</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III.4.2) W zakresie potwierdzenia niepodlegania wykluczeniu na podstawie art. 24 ust. 1 ustawy, należy przedłożyć:</w:t>
      </w:r>
    </w:p>
    <w:p w:rsidR="007A69FB" w:rsidRPr="007A69FB" w:rsidRDefault="007A69FB" w:rsidP="007A69FB">
      <w:pPr>
        <w:numPr>
          <w:ilvl w:val="0"/>
          <w:numId w:val="5"/>
        </w:numPr>
        <w:spacing w:after="0" w:line="240" w:lineRule="auto"/>
        <w:ind w:right="300"/>
        <w:jc w:val="both"/>
        <w:rPr>
          <w:rFonts w:eastAsia="Times New Roman" w:cs="Arial CE"/>
          <w:color w:val="000000"/>
          <w:sz w:val="20"/>
          <w:szCs w:val="20"/>
          <w:lang w:eastAsia="pl-PL"/>
        </w:rPr>
      </w:pPr>
      <w:r w:rsidRPr="007A69FB">
        <w:rPr>
          <w:rFonts w:eastAsia="Times New Roman" w:cs="Arial CE"/>
          <w:color w:val="000000"/>
          <w:sz w:val="20"/>
          <w:szCs w:val="20"/>
          <w:lang w:eastAsia="pl-PL"/>
        </w:rPr>
        <w:t>oświadczenie o braku podstaw do wykluczenia;</w:t>
      </w:r>
    </w:p>
    <w:p w:rsidR="007A69FB" w:rsidRPr="007A69FB" w:rsidRDefault="007A69FB" w:rsidP="007A69FB">
      <w:pPr>
        <w:numPr>
          <w:ilvl w:val="0"/>
          <w:numId w:val="5"/>
        </w:numPr>
        <w:spacing w:after="0" w:line="240" w:lineRule="auto"/>
        <w:ind w:right="300"/>
        <w:jc w:val="both"/>
        <w:rPr>
          <w:rFonts w:eastAsia="Times New Roman" w:cs="Arial CE"/>
          <w:color w:val="000000"/>
          <w:sz w:val="20"/>
          <w:szCs w:val="20"/>
          <w:lang w:eastAsia="pl-PL"/>
        </w:rPr>
      </w:pPr>
      <w:r w:rsidRPr="007A69FB">
        <w:rPr>
          <w:rFonts w:eastAsia="Times New Roman"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A69FB" w:rsidRPr="007A69FB" w:rsidRDefault="007A69FB" w:rsidP="007A69FB">
      <w:pPr>
        <w:spacing w:after="0" w:line="240" w:lineRule="auto"/>
        <w:ind w:left="225"/>
        <w:rPr>
          <w:rFonts w:eastAsia="Times New Roman" w:cs="Arial CE"/>
          <w:b/>
          <w:bCs/>
          <w:color w:val="000000"/>
          <w:sz w:val="20"/>
          <w:szCs w:val="20"/>
          <w:lang w:eastAsia="pl-PL"/>
        </w:rPr>
      </w:pPr>
      <w:r w:rsidRPr="007A69FB">
        <w:rPr>
          <w:rFonts w:eastAsia="Times New Roman" w:cs="Arial CE"/>
          <w:b/>
          <w:bCs/>
          <w:color w:val="000000"/>
          <w:sz w:val="20"/>
          <w:szCs w:val="20"/>
          <w:lang w:eastAsia="pl-PL"/>
        </w:rPr>
        <w:t>III.4.3) Dokumenty podmiotów zagranicznych</w:t>
      </w:r>
    </w:p>
    <w:p w:rsidR="007A69FB" w:rsidRPr="007A69FB" w:rsidRDefault="007A69FB" w:rsidP="007A69FB">
      <w:pPr>
        <w:spacing w:after="0" w:line="240" w:lineRule="auto"/>
        <w:ind w:left="225"/>
        <w:rPr>
          <w:rFonts w:eastAsia="Times New Roman" w:cs="Arial CE"/>
          <w:b/>
          <w:bCs/>
          <w:color w:val="000000"/>
          <w:sz w:val="20"/>
          <w:szCs w:val="20"/>
          <w:lang w:eastAsia="pl-PL"/>
        </w:rPr>
      </w:pPr>
      <w:r w:rsidRPr="007A69FB">
        <w:rPr>
          <w:rFonts w:eastAsia="Times New Roman" w:cs="Arial CE"/>
          <w:b/>
          <w:bCs/>
          <w:color w:val="000000"/>
          <w:sz w:val="20"/>
          <w:szCs w:val="20"/>
          <w:lang w:eastAsia="pl-PL"/>
        </w:rPr>
        <w:t>Jeżeli wykonawca ma siedzibę lub miejsce zamieszkania poza terytorium Rzeczypospolitej Polskiej, przedkłada:</w:t>
      </w:r>
    </w:p>
    <w:p w:rsidR="007A69FB" w:rsidRPr="007A69FB" w:rsidRDefault="007A69FB" w:rsidP="007A69FB">
      <w:pPr>
        <w:spacing w:after="0" w:line="240" w:lineRule="auto"/>
        <w:ind w:left="225"/>
        <w:rPr>
          <w:rFonts w:eastAsia="Times New Roman" w:cs="Arial CE"/>
          <w:b/>
          <w:bCs/>
          <w:color w:val="000000"/>
          <w:sz w:val="20"/>
          <w:szCs w:val="20"/>
          <w:lang w:eastAsia="pl-PL"/>
        </w:rPr>
      </w:pPr>
      <w:r w:rsidRPr="007A69FB">
        <w:rPr>
          <w:rFonts w:eastAsia="Times New Roman" w:cs="Arial CE"/>
          <w:b/>
          <w:bCs/>
          <w:color w:val="000000"/>
          <w:sz w:val="20"/>
          <w:szCs w:val="20"/>
          <w:lang w:eastAsia="pl-PL"/>
        </w:rPr>
        <w:t>III.4.3.1) dokument wystawiony w kraju, w którym ma siedzibę lub miejsce zamieszkania potwierdzający, że:</w:t>
      </w:r>
    </w:p>
    <w:p w:rsidR="007A69FB" w:rsidRPr="007A69FB" w:rsidRDefault="007A69FB" w:rsidP="007A69FB">
      <w:pPr>
        <w:numPr>
          <w:ilvl w:val="0"/>
          <w:numId w:val="6"/>
        </w:numPr>
        <w:spacing w:after="0" w:line="240" w:lineRule="auto"/>
        <w:ind w:right="300"/>
        <w:jc w:val="both"/>
        <w:rPr>
          <w:rFonts w:eastAsia="Times New Roman" w:cs="Arial CE"/>
          <w:color w:val="000000"/>
          <w:sz w:val="20"/>
          <w:szCs w:val="20"/>
          <w:lang w:eastAsia="pl-PL"/>
        </w:rPr>
      </w:pPr>
      <w:r w:rsidRPr="007A69FB">
        <w:rPr>
          <w:rFonts w:eastAsia="Times New Roman"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A69FB" w:rsidRPr="007A69FB" w:rsidRDefault="007A69FB" w:rsidP="007A69FB">
      <w:pPr>
        <w:spacing w:after="0" w:line="240" w:lineRule="auto"/>
        <w:ind w:left="225"/>
        <w:rPr>
          <w:rFonts w:eastAsia="Times New Roman" w:cs="Arial CE"/>
          <w:b/>
          <w:bCs/>
          <w:color w:val="000000"/>
          <w:sz w:val="20"/>
          <w:szCs w:val="20"/>
          <w:lang w:eastAsia="pl-PL"/>
        </w:rPr>
      </w:pPr>
      <w:r w:rsidRPr="007A69FB">
        <w:rPr>
          <w:rFonts w:eastAsia="Times New Roman" w:cs="Arial CE"/>
          <w:b/>
          <w:bCs/>
          <w:color w:val="000000"/>
          <w:sz w:val="20"/>
          <w:szCs w:val="20"/>
          <w:lang w:eastAsia="pl-PL"/>
        </w:rPr>
        <w:t>III.4.4) Dokumenty dotyczące przynależności do tej samej grupy kapitałowej</w:t>
      </w:r>
    </w:p>
    <w:p w:rsidR="007A69FB" w:rsidRPr="007A69FB" w:rsidRDefault="007A69FB" w:rsidP="007A69FB">
      <w:pPr>
        <w:numPr>
          <w:ilvl w:val="0"/>
          <w:numId w:val="7"/>
        </w:numPr>
        <w:spacing w:after="0" w:line="240" w:lineRule="auto"/>
        <w:ind w:right="300"/>
        <w:jc w:val="both"/>
        <w:rPr>
          <w:rFonts w:eastAsia="Times New Roman" w:cs="Arial CE"/>
          <w:color w:val="000000"/>
          <w:sz w:val="20"/>
          <w:szCs w:val="20"/>
          <w:lang w:eastAsia="pl-PL"/>
        </w:rPr>
      </w:pPr>
      <w:r w:rsidRPr="007A69FB">
        <w:rPr>
          <w:rFonts w:eastAsia="Times New Roman"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III.6) INNE DOKUMENTY</w:t>
      </w:r>
    </w:p>
    <w:p w:rsidR="007A69FB" w:rsidRPr="007A69FB" w:rsidRDefault="007A69FB" w:rsidP="007A69FB">
      <w:pPr>
        <w:spacing w:after="0" w:line="240" w:lineRule="auto"/>
        <w:ind w:left="225"/>
        <w:rPr>
          <w:rFonts w:eastAsia="Times New Roman" w:cs="Arial CE"/>
          <w:b/>
          <w:bCs/>
          <w:color w:val="000000"/>
          <w:sz w:val="20"/>
          <w:szCs w:val="20"/>
          <w:lang w:eastAsia="pl-PL"/>
        </w:rPr>
      </w:pPr>
      <w:r w:rsidRPr="007A69FB">
        <w:rPr>
          <w:rFonts w:eastAsia="Times New Roman" w:cs="Arial CE"/>
          <w:b/>
          <w:bCs/>
          <w:color w:val="000000"/>
          <w:sz w:val="20"/>
          <w:szCs w:val="20"/>
          <w:lang w:eastAsia="pl-PL"/>
        </w:rPr>
        <w:t>Inne dokumenty niewymienione w pkt III.4) albo w pkt III.5)</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color w:val="000000"/>
          <w:sz w:val="20"/>
          <w:szCs w:val="20"/>
          <w:lang w:eastAsia="pl-PL"/>
        </w:rPr>
        <w:t xml:space="preserve">1) wypełniony formularz oferty wg załącznika Nr 1 do SIWZ, 2)wypełnione i podpisane oświadczenie o spełnianiu warunków art. 22 ust. 1 pkt 1 - 4 ustawy </w:t>
      </w:r>
      <w:proofErr w:type="spellStart"/>
      <w:r w:rsidRPr="007A69FB">
        <w:rPr>
          <w:rFonts w:eastAsia="Times New Roman" w:cs="Arial CE"/>
          <w:color w:val="000000"/>
          <w:sz w:val="20"/>
          <w:szCs w:val="20"/>
          <w:lang w:eastAsia="pl-PL"/>
        </w:rPr>
        <w:t>pzp</w:t>
      </w:r>
      <w:proofErr w:type="spellEnd"/>
      <w:r w:rsidRPr="007A69FB">
        <w:rPr>
          <w:rFonts w:eastAsia="Times New Roman" w:cs="Arial CE"/>
          <w:color w:val="000000"/>
          <w:sz w:val="20"/>
          <w:szCs w:val="20"/>
          <w:lang w:eastAsia="pl-PL"/>
        </w:rPr>
        <w:t xml:space="preserve"> wg załącznika Nr 2 do SIWZ, 9) pisemne zobowiązanie, o którym mowa w pkt 5.2. SIWZ, o ile Wykonawca polega na zasobach innych podmiotów na zasadach określonych w art. 26 ust. 2b ustawy </w:t>
      </w:r>
      <w:proofErr w:type="spellStart"/>
      <w:r w:rsidRPr="007A69FB">
        <w:rPr>
          <w:rFonts w:eastAsia="Times New Roman" w:cs="Arial CE"/>
          <w:color w:val="000000"/>
          <w:sz w:val="20"/>
          <w:szCs w:val="20"/>
          <w:lang w:eastAsia="pl-PL"/>
        </w:rPr>
        <w:t>pzp</w:t>
      </w:r>
      <w:proofErr w:type="spellEnd"/>
      <w:r w:rsidRPr="007A69FB">
        <w:rPr>
          <w:rFonts w:eastAsia="Times New Roman" w:cs="Arial CE"/>
          <w:color w:val="000000"/>
          <w:sz w:val="20"/>
          <w:szCs w:val="20"/>
          <w:lang w:eastAsia="pl-PL"/>
        </w:rPr>
        <w:t xml:space="preserve"> wraz z pełnomocnictwem lub innym dokumentem określającym zakres umocowania do reprezentowania podmiotu zobowiązanego, 10) pełnomocnictwo lub inny dokument określający zakres umocowania do reprezentowania Wykonawcy, o ile ofertę składa pełnomocnik Wykonawcy.</w:t>
      </w:r>
    </w:p>
    <w:p w:rsidR="007A69FB" w:rsidRPr="007A69FB" w:rsidRDefault="007A69FB" w:rsidP="007A69FB">
      <w:pPr>
        <w:spacing w:after="0" w:line="240" w:lineRule="auto"/>
        <w:rPr>
          <w:rFonts w:eastAsia="Times New Roman" w:cs="Arial CE"/>
          <w:b/>
          <w:bCs/>
          <w:color w:val="000000"/>
          <w:sz w:val="20"/>
          <w:szCs w:val="20"/>
          <w:u w:val="single"/>
          <w:lang w:eastAsia="pl-PL"/>
        </w:rPr>
      </w:pPr>
      <w:r w:rsidRPr="007A69FB">
        <w:rPr>
          <w:rFonts w:eastAsia="Times New Roman" w:cs="Arial CE"/>
          <w:b/>
          <w:bCs/>
          <w:color w:val="000000"/>
          <w:sz w:val="20"/>
          <w:szCs w:val="20"/>
          <w:u w:val="single"/>
          <w:lang w:eastAsia="pl-PL"/>
        </w:rPr>
        <w:t>SEKCJA IV: PROCEDURA</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lastRenderedPageBreak/>
        <w:t>IV.1) TRYB UDZIELENIA ZAMÓWIENIA</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IV.1.1) Tryb udzielenia zamówienia:</w:t>
      </w:r>
      <w:r w:rsidRPr="007A69FB">
        <w:rPr>
          <w:rFonts w:eastAsia="Times New Roman" w:cs="Arial CE"/>
          <w:color w:val="000000"/>
          <w:sz w:val="20"/>
          <w:szCs w:val="20"/>
          <w:lang w:eastAsia="pl-PL"/>
        </w:rPr>
        <w:t> przetarg nieograniczony.</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IV.2) KRYTERIA OCENY OFERT</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IV.2.1) Kryteria oceny ofert: </w:t>
      </w:r>
      <w:r w:rsidRPr="007A69FB">
        <w:rPr>
          <w:rFonts w:eastAsia="Times New Roman" w:cs="Arial CE"/>
          <w:color w:val="000000"/>
          <w:sz w:val="20"/>
          <w:szCs w:val="20"/>
          <w:lang w:eastAsia="pl-PL"/>
        </w:rPr>
        <w:t>cena oraz inne kryteria związane z przedmiotem zamówienia:</w:t>
      </w:r>
    </w:p>
    <w:p w:rsidR="007A69FB" w:rsidRPr="007A69FB" w:rsidRDefault="007A69FB" w:rsidP="007A69FB">
      <w:pPr>
        <w:numPr>
          <w:ilvl w:val="0"/>
          <w:numId w:val="8"/>
        </w:numPr>
        <w:spacing w:after="0" w:line="240" w:lineRule="auto"/>
        <w:ind w:left="450"/>
        <w:rPr>
          <w:rFonts w:eastAsia="Times New Roman" w:cs="Arial CE"/>
          <w:color w:val="000000"/>
          <w:sz w:val="20"/>
          <w:szCs w:val="20"/>
          <w:lang w:eastAsia="pl-PL"/>
        </w:rPr>
      </w:pPr>
      <w:r w:rsidRPr="007A69FB">
        <w:rPr>
          <w:rFonts w:eastAsia="Times New Roman" w:cs="Arial CE"/>
          <w:color w:val="000000"/>
          <w:sz w:val="20"/>
          <w:szCs w:val="20"/>
          <w:lang w:eastAsia="pl-PL"/>
        </w:rPr>
        <w:t>1 - Cena - 98</w:t>
      </w:r>
    </w:p>
    <w:p w:rsidR="007A69FB" w:rsidRPr="007A69FB" w:rsidRDefault="007A69FB" w:rsidP="007A69FB">
      <w:pPr>
        <w:numPr>
          <w:ilvl w:val="0"/>
          <w:numId w:val="8"/>
        </w:numPr>
        <w:spacing w:after="0" w:line="240" w:lineRule="auto"/>
        <w:ind w:left="450"/>
        <w:rPr>
          <w:rFonts w:eastAsia="Times New Roman" w:cs="Arial CE"/>
          <w:color w:val="000000"/>
          <w:sz w:val="20"/>
          <w:szCs w:val="20"/>
          <w:lang w:eastAsia="pl-PL"/>
        </w:rPr>
      </w:pPr>
      <w:r w:rsidRPr="007A69FB">
        <w:rPr>
          <w:rFonts w:eastAsia="Times New Roman" w:cs="Arial CE"/>
          <w:color w:val="000000"/>
          <w:sz w:val="20"/>
          <w:szCs w:val="20"/>
          <w:lang w:eastAsia="pl-PL"/>
        </w:rPr>
        <w:t>2 - Okres gwarancji - 2</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IV.3) ZMIANA UMOWY</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przewiduje się istotne zmiany postanowień zawartej umowy w stosunku do treści oferty, na podstawie której dokonano wyboru wykonawcy:</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Dopuszczalne zmiany postanowień umowy oraz określenie warunków zmian</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color w:val="000000"/>
          <w:sz w:val="20"/>
          <w:szCs w:val="20"/>
          <w:lang w:eastAsia="pl-PL"/>
        </w:rPr>
        <w:t>Strony przewidują możliwość dokonania zmiany umowy w zakresie terminu wykonania umowy, jeśli z przyczyn niezależnych od Wykonawcy wykonanie umowy w terminie stało się niemożliwe z powodu sił wyższych np. wystąpienia zdarzenia wywołanego przez czynniki zewnętrzne, którego nie można było przewidzieć, w szczególności zagrażającego bezpośrednio życiu lub zdrowiu ludzi lub grożącego powstaniem szkody w znacznych rozmiarach, albo z powodu działań osób trzecich uniemożliwiających wykonanie prac, które to działania nie są konsekwencją winy któregokolwiek ze stron. Wydłużenie terminu wykonania umowy będzie proporcjonalnie do okresu działania siły wyższej albo działania osób trzecich uniemożliwiających wykonania w terminie prac objętych umową.</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IV.4) INFORMACJE ADMINISTRACYJNE</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IV.4.1)</w:t>
      </w:r>
      <w:r w:rsidRPr="007A69FB">
        <w:rPr>
          <w:rFonts w:eastAsia="Times New Roman" w:cs="Arial CE"/>
          <w:color w:val="000000"/>
          <w:sz w:val="20"/>
          <w:szCs w:val="20"/>
          <w:lang w:eastAsia="pl-PL"/>
        </w:rPr>
        <w:t> </w:t>
      </w:r>
      <w:r w:rsidRPr="007A69FB">
        <w:rPr>
          <w:rFonts w:eastAsia="Times New Roman" w:cs="Arial CE"/>
          <w:b/>
          <w:bCs/>
          <w:color w:val="000000"/>
          <w:sz w:val="20"/>
          <w:szCs w:val="20"/>
          <w:lang w:eastAsia="pl-PL"/>
        </w:rPr>
        <w:t>Adres strony internetowej, na której jest dostępna specyfikacja istotnych warunków zamówienia:</w:t>
      </w:r>
      <w:r w:rsidRPr="007A69FB">
        <w:rPr>
          <w:rFonts w:eastAsia="Times New Roman" w:cs="Arial CE"/>
          <w:color w:val="000000"/>
          <w:sz w:val="20"/>
          <w:szCs w:val="20"/>
          <w:lang w:eastAsia="pl-PL"/>
        </w:rPr>
        <w:t> www.bip.miedzyrzecz,pl</w:t>
      </w:r>
      <w:r w:rsidRPr="007A69FB">
        <w:rPr>
          <w:rFonts w:eastAsia="Times New Roman" w:cs="Arial CE"/>
          <w:color w:val="000000"/>
          <w:sz w:val="20"/>
          <w:szCs w:val="20"/>
          <w:lang w:eastAsia="pl-PL"/>
        </w:rPr>
        <w:br/>
      </w:r>
      <w:r w:rsidRPr="007A69FB">
        <w:rPr>
          <w:rFonts w:eastAsia="Times New Roman" w:cs="Arial CE"/>
          <w:b/>
          <w:bCs/>
          <w:color w:val="000000"/>
          <w:sz w:val="20"/>
          <w:szCs w:val="20"/>
          <w:lang w:eastAsia="pl-PL"/>
        </w:rPr>
        <w:t>Specyfikację istotnych warunków zamówienia można uzyskać pod adresem:</w:t>
      </w:r>
      <w:r w:rsidRPr="007A69FB">
        <w:rPr>
          <w:rFonts w:eastAsia="Times New Roman" w:cs="Arial CE"/>
          <w:color w:val="000000"/>
          <w:sz w:val="20"/>
          <w:szCs w:val="20"/>
          <w:lang w:eastAsia="pl-PL"/>
        </w:rPr>
        <w:t> www.bip.miedzyrzecz.pl.</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IV.4.4) Termin składania wniosków o dopuszczenie do udziału w postępowaniu lub ofert:</w:t>
      </w:r>
      <w:r w:rsidRPr="007A69FB">
        <w:rPr>
          <w:rFonts w:eastAsia="Times New Roman" w:cs="Arial CE"/>
          <w:color w:val="000000"/>
          <w:sz w:val="20"/>
          <w:szCs w:val="20"/>
          <w:lang w:eastAsia="pl-PL"/>
        </w:rPr>
        <w:t> 18.02.2015 godzina 09:00, miejsce: Urząd Miejski ul. Rynek 1 66-300 Międzyrzecz pok. 201 sekretariat.</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IV.4.5) Termin związania ofertą:</w:t>
      </w:r>
      <w:r w:rsidRPr="007A69FB">
        <w:rPr>
          <w:rFonts w:eastAsia="Times New Roman" w:cs="Arial CE"/>
          <w:color w:val="000000"/>
          <w:sz w:val="20"/>
          <w:szCs w:val="20"/>
          <w:lang w:eastAsia="pl-PL"/>
        </w:rPr>
        <w:t> okres w dniach: 30 (od ostatecznego terminu składania ofert).</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IV.4.16) Informacje dodatkowe, w tym dotyczące finansowania projektu/programu ze środków Unii Europejskiej:</w:t>
      </w:r>
      <w:r w:rsidRPr="007A69FB">
        <w:rPr>
          <w:rFonts w:eastAsia="Times New Roman" w:cs="Arial CE"/>
          <w:color w:val="000000"/>
          <w:sz w:val="20"/>
          <w:szCs w:val="20"/>
          <w:lang w:eastAsia="pl-PL"/>
        </w:rPr>
        <w:t> Nie dotyczy.</w:t>
      </w:r>
    </w:p>
    <w:p w:rsidR="007A69FB" w:rsidRPr="007A69FB" w:rsidRDefault="007A69FB" w:rsidP="007A69FB">
      <w:pPr>
        <w:spacing w:after="0" w:line="240" w:lineRule="auto"/>
        <w:ind w:left="225"/>
        <w:rPr>
          <w:rFonts w:eastAsia="Times New Roman" w:cs="Arial CE"/>
          <w:color w:val="000000"/>
          <w:sz w:val="20"/>
          <w:szCs w:val="20"/>
          <w:lang w:eastAsia="pl-PL"/>
        </w:rPr>
      </w:pPr>
      <w:r w:rsidRPr="007A69FB">
        <w:rPr>
          <w:rFonts w:eastAsia="Times New Roman" w:cs="Arial CE"/>
          <w:b/>
          <w:bCs/>
          <w:color w:val="000000"/>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w:t>
      </w:r>
      <w:proofErr w:type="spellStart"/>
      <w:r w:rsidRPr="007A69FB">
        <w:rPr>
          <w:rFonts w:eastAsia="Times New Roman" w:cs="Arial CE"/>
          <w:b/>
          <w:bCs/>
          <w:color w:val="000000"/>
          <w:sz w:val="20"/>
          <w:szCs w:val="20"/>
          <w:lang w:eastAsia="pl-PL"/>
        </w:rPr>
        <w:t>zamówienia:</w:t>
      </w:r>
      <w:r w:rsidRPr="007A69FB">
        <w:rPr>
          <w:rFonts w:eastAsia="Times New Roman" w:cs="Arial CE"/>
          <w:color w:val="000000"/>
          <w:sz w:val="20"/>
          <w:szCs w:val="20"/>
          <w:lang w:eastAsia="pl-PL"/>
        </w:rPr>
        <w:t>nie</w:t>
      </w:r>
      <w:proofErr w:type="spellEnd"/>
    </w:p>
    <w:p w:rsidR="007A69FB" w:rsidRPr="007A69FB" w:rsidRDefault="007A69FB" w:rsidP="007A69FB">
      <w:pPr>
        <w:spacing w:after="0" w:line="240" w:lineRule="auto"/>
        <w:rPr>
          <w:rFonts w:eastAsia="Times New Roman" w:cs="Times New Roman"/>
          <w:sz w:val="20"/>
          <w:szCs w:val="20"/>
          <w:lang w:eastAsia="pl-PL"/>
        </w:rPr>
      </w:pPr>
    </w:p>
    <w:p w:rsidR="00BE11EF" w:rsidRPr="007A69FB" w:rsidRDefault="00BE11EF" w:rsidP="007A69FB">
      <w:pPr>
        <w:spacing w:after="0" w:line="240" w:lineRule="auto"/>
        <w:rPr>
          <w:sz w:val="20"/>
          <w:szCs w:val="20"/>
        </w:rPr>
      </w:pPr>
    </w:p>
    <w:sectPr w:rsidR="00BE11EF" w:rsidRPr="007A6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55D37"/>
    <w:multiLevelType w:val="multilevel"/>
    <w:tmpl w:val="7C04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144DE5"/>
    <w:multiLevelType w:val="multilevel"/>
    <w:tmpl w:val="137C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F37C1F"/>
    <w:multiLevelType w:val="multilevel"/>
    <w:tmpl w:val="2C5E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3A04D3"/>
    <w:multiLevelType w:val="multilevel"/>
    <w:tmpl w:val="6CE4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961AA"/>
    <w:multiLevelType w:val="multilevel"/>
    <w:tmpl w:val="F09C2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6875D6"/>
    <w:multiLevelType w:val="multilevel"/>
    <w:tmpl w:val="D2AA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F6083B"/>
    <w:multiLevelType w:val="multilevel"/>
    <w:tmpl w:val="F39E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C65305"/>
    <w:multiLevelType w:val="multilevel"/>
    <w:tmpl w:val="7C32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9D"/>
    <w:rsid w:val="007A69FB"/>
    <w:rsid w:val="00BE11EF"/>
    <w:rsid w:val="00FE73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A69FB"/>
  </w:style>
  <w:style w:type="character" w:styleId="Hipercze">
    <w:name w:val="Hyperlink"/>
    <w:basedOn w:val="Domylnaczcionkaakapitu"/>
    <w:uiPriority w:val="99"/>
    <w:semiHidden/>
    <w:unhideWhenUsed/>
    <w:rsid w:val="007A69FB"/>
    <w:rPr>
      <w:color w:val="0000FF"/>
      <w:u w:val="single"/>
    </w:rPr>
  </w:style>
  <w:style w:type="paragraph" w:styleId="NormalnyWeb">
    <w:name w:val="Normal (Web)"/>
    <w:basedOn w:val="Normalny"/>
    <w:uiPriority w:val="99"/>
    <w:semiHidden/>
    <w:unhideWhenUsed/>
    <w:rsid w:val="007A69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A69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A69FB"/>
  </w:style>
  <w:style w:type="paragraph" w:customStyle="1" w:styleId="khtitle">
    <w:name w:val="kh_title"/>
    <w:basedOn w:val="Normalny"/>
    <w:rsid w:val="007A69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A69F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A69FB"/>
  </w:style>
  <w:style w:type="character" w:styleId="Hipercze">
    <w:name w:val="Hyperlink"/>
    <w:basedOn w:val="Domylnaczcionkaakapitu"/>
    <w:uiPriority w:val="99"/>
    <w:semiHidden/>
    <w:unhideWhenUsed/>
    <w:rsid w:val="007A69FB"/>
    <w:rPr>
      <w:color w:val="0000FF"/>
      <w:u w:val="single"/>
    </w:rPr>
  </w:style>
  <w:style w:type="paragraph" w:styleId="NormalnyWeb">
    <w:name w:val="Normal (Web)"/>
    <w:basedOn w:val="Normalny"/>
    <w:uiPriority w:val="99"/>
    <w:semiHidden/>
    <w:unhideWhenUsed/>
    <w:rsid w:val="007A69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A69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A69FB"/>
  </w:style>
  <w:style w:type="paragraph" w:customStyle="1" w:styleId="khtitle">
    <w:name w:val="kh_title"/>
    <w:basedOn w:val="Normalny"/>
    <w:rsid w:val="007A69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A69F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434004">
      <w:bodyDiv w:val="1"/>
      <w:marLeft w:val="0"/>
      <w:marRight w:val="0"/>
      <w:marTop w:val="0"/>
      <w:marBottom w:val="0"/>
      <w:divBdr>
        <w:top w:val="none" w:sz="0" w:space="0" w:color="auto"/>
        <w:left w:val="none" w:sz="0" w:space="0" w:color="auto"/>
        <w:bottom w:val="none" w:sz="0" w:space="0" w:color="auto"/>
        <w:right w:val="none" w:sz="0" w:space="0" w:color="auto"/>
      </w:divBdr>
      <w:divsChild>
        <w:div w:id="89450608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2151</Words>
  <Characters>12906</Characters>
  <Application>Microsoft Office Word</Application>
  <DocSecurity>0</DocSecurity>
  <Lines>107</Lines>
  <Paragraphs>30</Paragraphs>
  <ScaleCrop>false</ScaleCrop>
  <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dc:creator>
  <cp:keywords/>
  <dc:description/>
  <cp:lastModifiedBy>KasiaS</cp:lastModifiedBy>
  <cp:revision>2</cp:revision>
  <dcterms:created xsi:type="dcterms:W3CDTF">2015-02-10T12:01:00Z</dcterms:created>
  <dcterms:modified xsi:type="dcterms:W3CDTF">2015-02-10T12:02:00Z</dcterms:modified>
</cp:coreProperties>
</file>