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90" w:rsidRPr="00375390" w:rsidRDefault="00375390" w:rsidP="000E0A97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375390">
        <w:rPr>
          <w:rFonts w:ascii="Arial" w:eastAsia="Times New Roman" w:hAnsi="Arial" w:cs="Arial"/>
          <w:sz w:val="16"/>
          <w:szCs w:val="16"/>
          <w:lang w:eastAsia="pl-PL"/>
        </w:rPr>
        <w:t>BURMISTRZ MIĘDZYRZECZA</w:t>
      </w:r>
      <w:bookmarkStart w:id="0" w:name="_GoBack"/>
      <w:bookmarkEnd w:id="0"/>
    </w:p>
    <w:p w:rsidR="00375390" w:rsidRPr="00375390" w:rsidRDefault="00375390" w:rsidP="00375390">
      <w:pPr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375390">
        <w:rPr>
          <w:rFonts w:ascii="Arial" w:eastAsia="Times New Roman" w:hAnsi="Arial" w:cs="Arial"/>
          <w:sz w:val="16"/>
          <w:szCs w:val="16"/>
          <w:lang w:eastAsia="pl-PL"/>
        </w:rPr>
        <w:t>RYNEK 1</w:t>
      </w:r>
    </w:p>
    <w:p w:rsidR="00375390" w:rsidRPr="00375390" w:rsidRDefault="00375390" w:rsidP="000E0A97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375390">
        <w:rPr>
          <w:rFonts w:ascii="Arial" w:eastAsia="Times New Roman" w:hAnsi="Arial" w:cs="Arial"/>
          <w:sz w:val="16"/>
          <w:szCs w:val="16"/>
          <w:lang w:eastAsia="pl-PL"/>
        </w:rPr>
        <w:t>66-300 MIĘDZYRZECZ</w:t>
      </w:r>
    </w:p>
    <w:p w:rsidR="00375390" w:rsidRPr="00375390" w:rsidRDefault="00375390" w:rsidP="000E0A97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0E0A97" w:rsidRPr="00375390" w:rsidRDefault="000E0A97" w:rsidP="000E0A9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75390">
        <w:rPr>
          <w:rFonts w:ascii="Arial" w:eastAsia="Times New Roman" w:hAnsi="Arial" w:cs="Arial"/>
          <w:sz w:val="24"/>
          <w:szCs w:val="24"/>
          <w:lang w:eastAsia="pl-PL"/>
        </w:rPr>
        <w:t>WGM.6840.</w:t>
      </w:r>
      <w:r w:rsidR="00202A84" w:rsidRPr="00375390">
        <w:rPr>
          <w:rFonts w:ascii="Arial" w:eastAsia="Times New Roman" w:hAnsi="Arial" w:cs="Arial"/>
          <w:sz w:val="24"/>
          <w:szCs w:val="24"/>
          <w:lang w:eastAsia="pl-PL"/>
        </w:rPr>
        <w:t>60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02A84" w:rsidRPr="00375390">
        <w:rPr>
          <w:rFonts w:ascii="Arial" w:eastAsia="Times New Roman" w:hAnsi="Arial" w:cs="Arial"/>
          <w:sz w:val="24"/>
          <w:szCs w:val="24"/>
          <w:lang w:eastAsia="pl-PL"/>
        </w:rPr>
        <w:t>2021</w:t>
      </w:r>
    </w:p>
    <w:p w:rsidR="000E0A97" w:rsidRPr="00375390" w:rsidRDefault="000E0A97" w:rsidP="00921678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0A97" w:rsidRPr="00375390" w:rsidRDefault="000E0A97" w:rsidP="00921678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>BURMISTRZ MIĘDZYRZECZ</w:t>
      </w:r>
      <w:r w:rsidR="00921678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ogłasza</w:t>
      </w:r>
    </w:p>
    <w:p w:rsidR="000E0A97" w:rsidRPr="00375390" w:rsidRDefault="00DF48FF" w:rsidP="000E0A9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75390">
        <w:rPr>
          <w:rFonts w:ascii="Arial" w:eastAsia="Times New Roman" w:hAnsi="Arial" w:cs="Arial"/>
          <w:sz w:val="24"/>
          <w:szCs w:val="24"/>
          <w:lang w:eastAsia="pl-PL"/>
        </w:rPr>
        <w:t>czwarty</w:t>
      </w:r>
      <w:r w:rsidR="000E0A97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przetarg ustny nieograniczony na sprzedaż:</w:t>
      </w:r>
    </w:p>
    <w:p w:rsidR="000E0A97" w:rsidRPr="00375390" w:rsidRDefault="000E0A97" w:rsidP="000E0A9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0A97" w:rsidRPr="00375390" w:rsidRDefault="000E0A97" w:rsidP="00C0148D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lokalu mieszkalnego nr </w:t>
      </w:r>
      <w:r w:rsidR="00202A84"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375390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, 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>położonego w budynku</w:t>
      </w:r>
      <w:r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202A84"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>124C</w:t>
      </w:r>
      <w:r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</w:t>
      </w:r>
      <w:r w:rsidR="007B0DD3"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>Bukowcu</w:t>
      </w:r>
      <w:r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obrębie 00</w:t>
      </w:r>
      <w:r w:rsidR="007B0DD3"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>15</w:t>
      </w:r>
      <w:r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B0DD3"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>Bukowiec</w:t>
      </w:r>
      <w:r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>wraz ze sprzedażą ułamkowej części gruntu w udziale</w:t>
      </w:r>
      <w:r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02A84"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>590</w:t>
      </w:r>
      <w:r w:rsidR="007B0DD3"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>/10</w:t>
      </w:r>
      <w:r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000 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>części dz</w:t>
      </w:r>
      <w:r w:rsidR="007D7992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iałki oznaczonej 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numerem ewidencyjnym </w:t>
      </w:r>
      <w:r w:rsidR="007D7992" w:rsidRPr="00375390">
        <w:rPr>
          <w:rFonts w:ascii="Arial" w:eastAsia="Times New Roman" w:hAnsi="Arial" w:cs="Arial"/>
          <w:sz w:val="24"/>
          <w:szCs w:val="24"/>
          <w:lang w:eastAsia="pl-PL"/>
        </w:rPr>
        <w:t>128/74</w:t>
      </w:r>
      <w:r w:rsidR="00474988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o pow. 0,</w:t>
      </w:r>
      <w:r w:rsidR="007D7992" w:rsidRPr="00375390">
        <w:rPr>
          <w:rFonts w:ascii="Arial" w:eastAsia="Times New Roman" w:hAnsi="Arial" w:cs="Arial"/>
          <w:sz w:val="24"/>
          <w:szCs w:val="24"/>
          <w:lang w:eastAsia="pl-PL"/>
        </w:rPr>
        <w:t>2285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ha, dla której Sąd Rejonowy Wydział Ksiąg Wieczystych w Międzyrzeczu prowadzi księgę wieczystą </w:t>
      </w:r>
      <w:r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>nr GW1M/000</w:t>
      </w:r>
      <w:r w:rsidR="007D7992"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>22554/8</w:t>
      </w:r>
      <w:r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</w:p>
    <w:p w:rsidR="000E0A97" w:rsidRPr="00375390" w:rsidRDefault="000E0A97" w:rsidP="000E0A97">
      <w:pPr>
        <w:ind w:left="3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0A97" w:rsidRPr="00375390" w:rsidRDefault="000E0A97" w:rsidP="00C0148D">
      <w:pPr>
        <w:pStyle w:val="Akapitzlist"/>
        <w:numPr>
          <w:ilvl w:val="0"/>
          <w:numId w:val="1"/>
        </w:numPr>
        <w:ind w:left="284" w:hanging="283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753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Informacje o nieruchomości przeznaczonej do zbycia w drodze </w:t>
      </w:r>
      <w:r w:rsidR="00DF48FF" w:rsidRPr="003753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IV</w:t>
      </w:r>
      <w:r w:rsidRPr="003753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przetargu ustnego nieograniczonego</w:t>
      </w:r>
    </w:p>
    <w:p w:rsidR="000E0A97" w:rsidRPr="00375390" w:rsidRDefault="000E0A97" w:rsidP="00C0148D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Opis nieruchomości: </w:t>
      </w:r>
    </w:p>
    <w:p w:rsidR="000E0A97" w:rsidRPr="00375390" w:rsidRDefault="000E0A97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Działka oznaczona ewidencyjnie numerem </w:t>
      </w:r>
      <w:r w:rsidR="00517516" w:rsidRPr="00375390">
        <w:rPr>
          <w:rFonts w:ascii="Arial" w:eastAsia="Times New Roman" w:hAnsi="Arial" w:cs="Arial"/>
          <w:sz w:val="24"/>
          <w:szCs w:val="24"/>
          <w:lang w:eastAsia="pl-PL"/>
        </w:rPr>
        <w:t>128/74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o powierzchni </w:t>
      </w:r>
      <w:r w:rsidR="00517516" w:rsidRPr="00375390">
        <w:rPr>
          <w:rFonts w:ascii="Arial" w:eastAsia="Times New Roman" w:hAnsi="Arial" w:cs="Arial"/>
          <w:sz w:val="24"/>
          <w:szCs w:val="24"/>
          <w:lang w:eastAsia="pl-PL"/>
        </w:rPr>
        <w:t>2285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m</w:t>
      </w:r>
      <w:r w:rsidRPr="0037539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zlokal</w:t>
      </w:r>
      <w:r w:rsidR="00517516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izowana jest 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>w obrębie 00</w:t>
      </w:r>
      <w:r w:rsidR="00517516" w:rsidRPr="00375390"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7516" w:rsidRPr="00375390">
        <w:rPr>
          <w:rFonts w:ascii="Arial" w:eastAsia="Times New Roman" w:hAnsi="Arial" w:cs="Arial"/>
          <w:sz w:val="24"/>
          <w:szCs w:val="24"/>
          <w:lang w:eastAsia="pl-PL"/>
        </w:rPr>
        <w:t>Bukowiec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. Działka zabudowana jest </w:t>
      </w:r>
      <w:r w:rsidR="002975C0" w:rsidRPr="00375390">
        <w:rPr>
          <w:rFonts w:ascii="Arial" w:eastAsia="Times New Roman" w:hAnsi="Arial" w:cs="Arial"/>
          <w:sz w:val="24"/>
          <w:szCs w:val="24"/>
          <w:lang w:eastAsia="pl-PL"/>
        </w:rPr>
        <w:t>budynkiem mieszkalnym wielorodzinnym</w:t>
      </w:r>
      <w:r w:rsidR="003E4789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14A80" w:rsidRPr="00375390">
        <w:rPr>
          <w:rFonts w:ascii="Arial" w:eastAsia="Times New Roman" w:hAnsi="Arial" w:cs="Arial"/>
          <w:sz w:val="24"/>
          <w:szCs w:val="24"/>
          <w:lang w:eastAsia="pl-PL"/>
        </w:rPr>
        <w:t>3-</w:t>
      </w:r>
      <w:r w:rsidR="002975C0" w:rsidRPr="00375390">
        <w:rPr>
          <w:rFonts w:ascii="Arial" w:eastAsia="Times New Roman" w:hAnsi="Arial" w:cs="Arial"/>
          <w:sz w:val="24"/>
          <w:szCs w:val="24"/>
          <w:lang w:eastAsia="pl-PL"/>
        </w:rPr>
        <w:t>ko</w:t>
      </w:r>
      <w:r w:rsidR="002975C0" w:rsidRPr="0037539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ndygnacyjnym</w:t>
      </w:r>
      <w:r w:rsidR="009A3E87" w:rsidRPr="0037539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wybudowanym w 1970 roku, posiadającym 3 </w:t>
      </w:r>
      <w:r w:rsidR="005747BA" w:rsidRPr="0037539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</w:t>
      </w:r>
      <w:r w:rsidR="009A3E87" w:rsidRPr="0037539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latki, bez windy, wyposażonym w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sieć energetyczną</w:t>
      </w:r>
      <w:r w:rsidR="00204A36" w:rsidRPr="00375390">
        <w:rPr>
          <w:rFonts w:ascii="Arial" w:eastAsia="Times New Roman" w:hAnsi="Arial" w:cs="Arial"/>
          <w:sz w:val="24"/>
          <w:szCs w:val="24"/>
          <w:lang w:eastAsia="pl-PL"/>
        </w:rPr>
        <w:t>, wodn</w:t>
      </w:r>
      <w:r w:rsidR="003E4789" w:rsidRPr="00375390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204A36" w:rsidRPr="00375390">
        <w:rPr>
          <w:rFonts w:ascii="Arial" w:eastAsia="Times New Roman" w:hAnsi="Arial" w:cs="Arial"/>
          <w:sz w:val="24"/>
          <w:szCs w:val="24"/>
          <w:lang w:eastAsia="pl-PL"/>
        </w:rPr>
        <w:t>, kanalizacyjną, ciepłowniczą i</w:t>
      </w:r>
      <w:r w:rsidR="00BC5161" w:rsidRPr="0037539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04A36" w:rsidRPr="00375390">
        <w:rPr>
          <w:rFonts w:ascii="Arial" w:eastAsia="Times New Roman" w:hAnsi="Arial" w:cs="Arial"/>
          <w:sz w:val="24"/>
          <w:szCs w:val="24"/>
          <w:lang w:eastAsia="pl-PL"/>
        </w:rPr>
        <w:t>telekomunikacyjną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5130C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02A84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Budynek jest całkowicie podpiwniczony. </w:t>
      </w:r>
      <w:r w:rsidR="0015130C" w:rsidRPr="00375390">
        <w:rPr>
          <w:rFonts w:ascii="Arial" w:eastAsia="Times New Roman" w:hAnsi="Arial" w:cs="Arial"/>
          <w:sz w:val="24"/>
          <w:szCs w:val="24"/>
          <w:lang w:eastAsia="pl-PL"/>
        </w:rPr>
        <w:t>Konst</w:t>
      </w:r>
      <w:r w:rsidR="006B0F60" w:rsidRPr="00375390">
        <w:rPr>
          <w:rFonts w:ascii="Arial" w:eastAsia="Times New Roman" w:hAnsi="Arial" w:cs="Arial"/>
          <w:sz w:val="24"/>
          <w:szCs w:val="24"/>
          <w:lang w:eastAsia="pl-PL"/>
        </w:rPr>
        <w:t>rukcja prefabrykowana w technolo</w:t>
      </w:r>
      <w:r w:rsidR="0015130C" w:rsidRPr="00375390">
        <w:rPr>
          <w:rFonts w:ascii="Arial" w:eastAsia="Times New Roman" w:hAnsi="Arial" w:cs="Arial"/>
          <w:sz w:val="24"/>
          <w:szCs w:val="24"/>
          <w:lang w:eastAsia="pl-PL"/>
        </w:rPr>
        <w:t>gi</w:t>
      </w:r>
      <w:r w:rsidR="006B0F60" w:rsidRPr="00375390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15130C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wielkiej płyty, ściany zewnętrzne nieocieplone</w:t>
      </w:r>
      <w:r w:rsidR="006B0F60" w:rsidRPr="00375390">
        <w:rPr>
          <w:rFonts w:ascii="Arial" w:eastAsia="Times New Roman" w:hAnsi="Arial" w:cs="Arial"/>
          <w:sz w:val="24"/>
          <w:szCs w:val="24"/>
          <w:lang w:eastAsia="pl-PL"/>
        </w:rPr>
        <w:t>, dach płaski pokryty papą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02A84" w:rsidRPr="0037539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C5161" w:rsidRPr="0037539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02A84" w:rsidRPr="00375390">
        <w:rPr>
          <w:rFonts w:ascii="Arial" w:eastAsia="Times New Roman" w:hAnsi="Arial" w:cs="Arial"/>
          <w:sz w:val="24"/>
          <w:szCs w:val="24"/>
          <w:lang w:eastAsia="pl-PL"/>
        </w:rPr>
        <w:t>budynku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02A84" w:rsidRPr="00375390">
        <w:rPr>
          <w:rFonts w:ascii="Arial" w:eastAsia="Times New Roman" w:hAnsi="Arial" w:cs="Arial"/>
          <w:sz w:val="24"/>
          <w:szCs w:val="24"/>
          <w:lang w:eastAsia="pl-PL"/>
        </w:rPr>
        <w:t>znajduje się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6649" w:rsidRPr="00375390">
        <w:rPr>
          <w:rFonts w:ascii="Arial" w:eastAsia="Times New Roman" w:hAnsi="Arial" w:cs="Arial"/>
          <w:sz w:val="24"/>
          <w:szCs w:val="24"/>
          <w:lang w:eastAsia="pl-PL"/>
        </w:rPr>
        <w:t>18 lokali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mieszkaln</w:t>
      </w:r>
      <w:r w:rsidR="005747BA" w:rsidRPr="00375390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730A8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Stan budynku ocenia się jako poprawny. </w:t>
      </w:r>
      <w:r w:rsidR="00202A84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Przed frontową częścią budynku znajdują się zorganizowane miejsca parkingowe oraz ciągi piesze utwardzone płytami betonowymi. </w:t>
      </w:r>
      <w:r w:rsidR="00B730A8" w:rsidRPr="00375390">
        <w:rPr>
          <w:rFonts w:ascii="Arial" w:eastAsia="Times New Roman" w:hAnsi="Arial" w:cs="Arial"/>
          <w:sz w:val="24"/>
          <w:szCs w:val="24"/>
          <w:lang w:eastAsia="pl-PL"/>
        </w:rPr>
        <w:t>Kształt</w:t>
      </w:r>
      <w:r w:rsidR="00A34F99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działki regularny zb</w:t>
      </w:r>
      <w:r w:rsidR="00B730A8" w:rsidRPr="00375390">
        <w:rPr>
          <w:rFonts w:ascii="Arial" w:eastAsia="Times New Roman" w:hAnsi="Arial" w:cs="Arial"/>
          <w:sz w:val="24"/>
          <w:szCs w:val="24"/>
          <w:lang w:eastAsia="pl-PL"/>
        </w:rPr>
        <w:t>liżony do prostokąta</w:t>
      </w:r>
      <w:r w:rsidR="0028129B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02A84" w:rsidRPr="00375390">
        <w:rPr>
          <w:rFonts w:ascii="Arial" w:eastAsia="Times New Roman" w:hAnsi="Arial" w:cs="Arial"/>
          <w:sz w:val="24"/>
          <w:szCs w:val="24"/>
          <w:lang w:eastAsia="pl-PL"/>
        </w:rPr>
        <w:t>niezabudowany obszar działki stanowi zaplecze budynku mieszkalnego. Teren nieogrodzony o płaskim ukształtowaniu.</w:t>
      </w:r>
      <w:r w:rsidR="00DD28EF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Nieruchomość posiada bezpośredni dostęp z drogi </w:t>
      </w:r>
      <w:r w:rsidR="00EF40F1" w:rsidRPr="00375390">
        <w:rPr>
          <w:rFonts w:ascii="Arial" w:eastAsia="Times New Roman" w:hAnsi="Arial" w:cs="Arial"/>
          <w:sz w:val="24"/>
          <w:szCs w:val="24"/>
          <w:lang w:eastAsia="pl-PL"/>
        </w:rPr>
        <w:t>publicznej</w:t>
      </w:r>
      <w:r w:rsidR="00DD28EF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oraz pełen dostęp do sieci uzbrojenia terenu.</w:t>
      </w:r>
      <w:r w:rsidR="00A34F99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62C0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Bezpośrednim sąsiedztwem jest zabudowa mieszkalna wielorodzinna, tereny ogródków </w:t>
      </w:r>
      <w:r w:rsidR="008A23A3" w:rsidRPr="00375390">
        <w:rPr>
          <w:rFonts w:ascii="Arial" w:eastAsia="Times New Roman" w:hAnsi="Arial" w:cs="Arial"/>
          <w:sz w:val="24"/>
          <w:szCs w:val="24"/>
          <w:lang w:eastAsia="pl-PL"/>
        </w:rPr>
        <w:t>działkowych, grunty rolne.</w:t>
      </w:r>
    </w:p>
    <w:p w:rsidR="00872D6C" w:rsidRPr="00375390" w:rsidRDefault="000E0A97" w:rsidP="00C0148D">
      <w:pPr>
        <w:rPr>
          <w:rFonts w:ascii="Arial" w:eastAsia="Calibri" w:hAnsi="Arial" w:cs="Arial"/>
          <w:sz w:val="24"/>
          <w:szCs w:val="24"/>
        </w:rPr>
      </w:pPr>
      <w:r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Przeznaczenie w </w:t>
      </w:r>
      <w:proofErr w:type="spellStart"/>
      <w:r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>mpzp</w:t>
      </w:r>
      <w:proofErr w:type="spellEnd"/>
      <w:r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375390">
        <w:rPr>
          <w:rFonts w:ascii="Arial" w:eastAsia="Calibri" w:hAnsi="Arial" w:cs="Arial"/>
          <w:sz w:val="24"/>
          <w:szCs w:val="24"/>
        </w:rPr>
        <w:t xml:space="preserve"> </w:t>
      </w:r>
    </w:p>
    <w:p w:rsidR="000E0A97" w:rsidRPr="00375390" w:rsidRDefault="00422F6D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75390">
        <w:rPr>
          <w:rFonts w:ascii="Arial" w:eastAsia="Calibri" w:hAnsi="Arial" w:cs="Arial"/>
          <w:sz w:val="24"/>
          <w:szCs w:val="24"/>
        </w:rPr>
        <w:t>Teren dział</w:t>
      </w:r>
      <w:r w:rsidR="00B158A8" w:rsidRPr="00375390">
        <w:rPr>
          <w:rFonts w:ascii="Arial" w:eastAsia="Times New Roman" w:hAnsi="Arial" w:cs="Arial"/>
          <w:sz w:val="24"/>
          <w:szCs w:val="24"/>
          <w:lang w:eastAsia="pl-PL"/>
        </w:rPr>
        <w:t>ki nr ewid.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>128/74</w:t>
      </w:r>
      <w:r w:rsidR="000E0A97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położon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0E0A97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w obrębie geodezyjnym 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>Bukowiec</w:t>
      </w:r>
      <w:r w:rsidR="008A66EC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nie został objęty</w:t>
      </w:r>
      <w:r w:rsidR="000E0A97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miejscowy</w:t>
      </w:r>
      <w:r w:rsidR="008A66EC" w:rsidRPr="00375390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0E0A97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plan</w:t>
      </w:r>
      <w:r w:rsidR="008A66EC" w:rsidRPr="00375390"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="000E0A97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zagospodarowania przestrzennego</w:t>
      </w:r>
      <w:r w:rsidR="008A66EC" w:rsidRPr="0037539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E0A97" w:rsidRPr="00375390" w:rsidRDefault="000E0A97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75390">
        <w:rPr>
          <w:rFonts w:ascii="Arial" w:eastAsia="Times New Roman" w:hAnsi="Arial" w:cs="Arial"/>
          <w:sz w:val="24"/>
          <w:szCs w:val="24"/>
          <w:lang w:eastAsia="pl-PL"/>
        </w:rPr>
        <w:t>Zgodnie z dyspozycją Studium uwarunkowań i kierunków zagospodarowania przestrzennego miasta i gminy Międzyrzecz, zatwierdzonym Uchwałą NR X</w:t>
      </w:r>
      <w:r w:rsidR="006126FD" w:rsidRPr="00375390">
        <w:rPr>
          <w:rFonts w:ascii="Arial" w:eastAsia="Times New Roman" w:hAnsi="Arial" w:cs="Arial"/>
          <w:sz w:val="24"/>
          <w:szCs w:val="24"/>
          <w:lang w:eastAsia="pl-PL"/>
        </w:rPr>
        <w:t>XVI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6126FD" w:rsidRPr="00375390">
        <w:rPr>
          <w:rFonts w:ascii="Arial" w:eastAsia="Times New Roman" w:hAnsi="Arial" w:cs="Arial"/>
          <w:sz w:val="24"/>
          <w:szCs w:val="24"/>
          <w:lang w:eastAsia="pl-PL"/>
        </w:rPr>
        <w:t>231/20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Rady M</w:t>
      </w:r>
      <w:r w:rsidR="006126FD" w:rsidRPr="00375390">
        <w:rPr>
          <w:rFonts w:ascii="Arial" w:eastAsia="Times New Roman" w:hAnsi="Arial" w:cs="Arial"/>
          <w:sz w:val="24"/>
          <w:szCs w:val="24"/>
          <w:lang w:eastAsia="pl-PL"/>
        </w:rPr>
        <w:t>iejskiej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C0148D" w:rsidRPr="0037539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>Międzyrzeczu z dnia 2</w:t>
      </w:r>
      <w:r w:rsidR="006126FD" w:rsidRPr="00375390">
        <w:rPr>
          <w:rFonts w:ascii="Arial" w:eastAsia="Times New Roman" w:hAnsi="Arial" w:cs="Arial"/>
          <w:sz w:val="24"/>
          <w:szCs w:val="24"/>
          <w:lang w:eastAsia="pl-PL"/>
        </w:rPr>
        <w:t>7 października</w:t>
      </w:r>
      <w:r w:rsidR="00AB6517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2020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r., przedmiotowa </w:t>
      </w:r>
      <w:r w:rsidR="00AB6517" w:rsidRPr="00375390">
        <w:rPr>
          <w:rFonts w:ascii="Arial" w:eastAsia="Times New Roman" w:hAnsi="Arial" w:cs="Arial"/>
          <w:sz w:val="24"/>
          <w:szCs w:val="24"/>
          <w:lang w:eastAsia="pl-PL"/>
        </w:rPr>
        <w:t>działka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w strefie </w:t>
      </w:r>
      <w:r w:rsidR="00E62784" w:rsidRPr="00375390">
        <w:rPr>
          <w:rFonts w:ascii="Arial" w:eastAsia="Times New Roman" w:hAnsi="Arial" w:cs="Arial"/>
          <w:sz w:val="24"/>
          <w:szCs w:val="24"/>
          <w:lang w:eastAsia="pl-PL"/>
        </w:rPr>
        <w:t>zabudowy mieszkaniowej jednorodzinnej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0E0A97" w:rsidRPr="00375390" w:rsidRDefault="000E0A97" w:rsidP="00C0148D">
      <w:pPr>
        <w:tabs>
          <w:tab w:val="left" w:pos="142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Działka nie podlega ochronie prawnej przewidzianej ustawą z dnia </w:t>
      </w:r>
      <w:r w:rsidR="009730BC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16 kwietnia </w:t>
      </w:r>
      <w:r w:rsidR="00921678" w:rsidRPr="00375390">
        <w:rPr>
          <w:rFonts w:ascii="Arial" w:eastAsia="Times New Roman" w:hAnsi="Arial" w:cs="Arial"/>
          <w:sz w:val="24"/>
          <w:szCs w:val="24"/>
          <w:lang w:eastAsia="pl-PL"/>
        </w:rPr>
        <w:t>2004</w:t>
      </w:r>
      <w:r w:rsidR="009730BC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C0148D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o 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ochronie </w:t>
      </w:r>
      <w:r w:rsidR="009730BC" w:rsidRPr="00375390">
        <w:rPr>
          <w:rFonts w:ascii="Arial" w:eastAsia="Times New Roman" w:hAnsi="Arial" w:cs="Arial"/>
          <w:sz w:val="24"/>
          <w:szCs w:val="24"/>
          <w:lang w:eastAsia="pl-PL"/>
        </w:rPr>
        <w:t>przyrody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spellStart"/>
      <w:r w:rsidRPr="00375390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. Dz. U. z </w:t>
      </w:r>
      <w:r w:rsidR="00872D6C" w:rsidRPr="00375390">
        <w:rPr>
          <w:rFonts w:ascii="Arial" w:eastAsia="Times New Roman" w:hAnsi="Arial" w:cs="Arial"/>
          <w:sz w:val="24"/>
          <w:szCs w:val="24"/>
          <w:lang w:eastAsia="pl-PL"/>
        </w:rPr>
        <w:t>2022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 w:rsidR="00872D6C" w:rsidRPr="00375390">
        <w:rPr>
          <w:rFonts w:ascii="Arial" w:eastAsia="Times New Roman" w:hAnsi="Arial" w:cs="Arial"/>
          <w:sz w:val="24"/>
          <w:szCs w:val="24"/>
          <w:lang w:eastAsia="pl-PL"/>
        </w:rPr>
        <w:t>916 ze zm.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B158A8" w:rsidRPr="0037539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Dla przedmiotowej nieruchomości nie została wydana decyzja o warunkach zabudowy.</w:t>
      </w:r>
      <w:r w:rsidR="00AF4C57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Dla działki nie został sporządzony gminny program rewitalizacji, jak również nie została ustanowiona specjalna strefa rewitalizacji.</w:t>
      </w:r>
    </w:p>
    <w:p w:rsidR="000E0A97" w:rsidRPr="00375390" w:rsidRDefault="000E0A97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7539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Przetargiem objęto </w:t>
      </w:r>
      <w:r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LOKAL MIESZKALNY nr </w:t>
      </w:r>
      <w:r w:rsidR="008A23A3"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pow. </w:t>
      </w:r>
      <w:r w:rsidR="008A23A3"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>68</w:t>
      </w:r>
      <w:r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8A23A3"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  <w:r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</w:t>
      </w:r>
      <w:r w:rsidRPr="00375390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2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>, składający się z:</w:t>
      </w:r>
      <w:r w:rsidRPr="0037539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8A23A3" w:rsidRPr="00375390">
        <w:rPr>
          <w:rFonts w:ascii="Arial" w:eastAsia="Times New Roman" w:hAnsi="Arial" w:cs="Arial"/>
          <w:sz w:val="24"/>
          <w:szCs w:val="24"/>
          <w:lang w:eastAsia="pl-PL"/>
        </w:rPr>
        <w:t>trzech</w:t>
      </w:r>
      <w:r w:rsidR="000A2A56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8A23A3" w:rsidRPr="00375390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>) pokoi, kuchni, łazienki</w:t>
      </w:r>
      <w:r w:rsidR="008D2EFC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="008D2EFC" w:rsidRPr="00375390">
        <w:rPr>
          <w:rFonts w:ascii="Arial" w:eastAsia="Times New Roman" w:hAnsi="Arial" w:cs="Arial"/>
          <w:sz w:val="24"/>
          <w:szCs w:val="24"/>
          <w:lang w:eastAsia="pl-PL"/>
        </w:rPr>
        <w:t>wc</w:t>
      </w:r>
      <w:proofErr w:type="spellEnd"/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EF40F1" w:rsidRPr="00375390">
        <w:rPr>
          <w:rFonts w:ascii="Arial" w:eastAsia="Times New Roman" w:hAnsi="Arial" w:cs="Arial"/>
          <w:sz w:val="24"/>
          <w:szCs w:val="24"/>
          <w:lang w:eastAsia="pl-PL"/>
        </w:rPr>
        <w:t>korytarza</w:t>
      </w:r>
      <w:r w:rsidR="00BC5161" w:rsidRPr="0037539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położony na </w:t>
      </w:r>
      <w:r w:rsidR="008A23A3" w:rsidRPr="00375390">
        <w:rPr>
          <w:rFonts w:ascii="Arial" w:eastAsia="Times New Roman" w:hAnsi="Arial" w:cs="Arial"/>
          <w:sz w:val="24"/>
          <w:szCs w:val="24"/>
          <w:lang w:eastAsia="pl-PL"/>
        </w:rPr>
        <w:t>II kondygnacji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w budynku o</w:t>
      </w:r>
      <w:r w:rsidR="00BC5161" w:rsidRPr="0037539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numerze porządkowym </w:t>
      </w:r>
      <w:r w:rsidR="008D2EFC" w:rsidRPr="00375390">
        <w:rPr>
          <w:rFonts w:ascii="Arial" w:eastAsia="Times New Roman" w:hAnsi="Arial" w:cs="Arial"/>
          <w:sz w:val="24"/>
          <w:szCs w:val="24"/>
          <w:lang w:eastAsia="pl-PL"/>
        </w:rPr>
        <w:t>124</w:t>
      </w:r>
      <w:r w:rsidR="008A23A3" w:rsidRPr="00375390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8D2EFC" w:rsidRPr="00375390">
        <w:rPr>
          <w:rFonts w:ascii="Arial" w:eastAsia="Times New Roman" w:hAnsi="Arial" w:cs="Arial"/>
          <w:sz w:val="24"/>
          <w:szCs w:val="24"/>
          <w:lang w:eastAsia="pl-PL"/>
        </w:rPr>
        <w:t>Bukowcu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E0A97" w:rsidRPr="00375390" w:rsidRDefault="000E0A97" w:rsidP="000E0A97">
      <w:pPr>
        <w:tabs>
          <w:tab w:val="left" w:pos="567"/>
          <w:tab w:val="right" w:leader="dot" w:pos="7938"/>
        </w:tabs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   Cena gruntu w udziale </w:t>
      </w:r>
      <w:r w:rsidR="00EF40F1" w:rsidRPr="00375390">
        <w:rPr>
          <w:rFonts w:ascii="Arial" w:eastAsia="Times New Roman" w:hAnsi="Arial" w:cs="Arial"/>
          <w:sz w:val="24"/>
          <w:szCs w:val="24"/>
          <w:lang w:eastAsia="pl-PL"/>
        </w:rPr>
        <w:t>590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>/10000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14CC7" w:rsidRPr="00375390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37539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14CC7" w:rsidRPr="00375390">
        <w:rPr>
          <w:rFonts w:ascii="Arial" w:eastAsia="Times New Roman" w:hAnsi="Arial" w:cs="Arial"/>
          <w:bCs/>
          <w:sz w:val="24"/>
          <w:szCs w:val="24"/>
          <w:lang w:eastAsia="pl-PL"/>
        </w:rPr>
        <w:t>640</w:t>
      </w:r>
      <w:r w:rsidRPr="00375390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114CC7" w:rsidRPr="00375390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Pr="0037539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0E0A97" w:rsidRPr="00375390" w:rsidRDefault="000E0A97" w:rsidP="000E0A97">
      <w:pPr>
        <w:tabs>
          <w:tab w:val="left" w:pos="567"/>
          <w:tab w:val="right" w:leader="dot" w:pos="7938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375390">
        <w:rPr>
          <w:rFonts w:ascii="Arial" w:eastAsia="Times New Roman" w:hAnsi="Arial" w:cs="Arial"/>
          <w:sz w:val="24"/>
          <w:szCs w:val="24"/>
          <w:lang w:eastAsia="pl-PL"/>
        </w:rPr>
        <w:tab/>
        <w:t>Cena lokalu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14CC7" w:rsidRPr="00375390">
        <w:rPr>
          <w:rFonts w:ascii="Arial" w:eastAsia="Times New Roman" w:hAnsi="Arial" w:cs="Arial"/>
          <w:sz w:val="24"/>
          <w:szCs w:val="24"/>
          <w:lang w:eastAsia="pl-PL"/>
        </w:rPr>
        <w:t>131</w:t>
      </w:r>
      <w:r w:rsidR="0045445A" w:rsidRPr="0037539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14CC7" w:rsidRPr="00375390">
        <w:rPr>
          <w:rFonts w:ascii="Arial" w:eastAsia="Times New Roman" w:hAnsi="Arial" w:cs="Arial"/>
          <w:sz w:val="24"/>
          <w:szCs w:val="24"/>
          <w:lang w:eastAsia="pl-PL"/>
        </w:rPr>
        <w:t>359</w:t>
      </w:r>
      <w:r w:rsidR="0045445A" w:rsidRPr="0037539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14CC7" w:rsidRPr="00375390">
        <w:rPr>
          <w:rFonts w:ascii="Arial" w:eastAsia="Times New Roman" w:hAnsi="Arial" w:cs="Arial"/>
          <w:sz w:val="24"/>
          <w:szCs w:val="24"/>
          <w:lang w:eastAsia="pl-PL"/>
        </w:rPr>
        <w:t>80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</w:p>
    <w:p w:rsidR="000E0A97" w:rsidRPr="00375390" w:rsidRDefault="000E0A97" w:rsidP="000E0A97">
      <w:pPr>
        <w:tabs>
          <w:tab w:val="left" w:pos="567"/>
          <w:tab w:val="right" w:pos="6240"/>
          <w:tab w:val="right" w:leader="dot" w:pos="7938"/>
        </w:tabs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37539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Razem cena wywoławcza 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14CC7" w:rsidRPr="003753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136</w:t>
      </w:r>
      <w:r w:rsidRPr="003753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.000,00 zł</w:t>
      </w:r>
    </w:p>
    <w:p w:rsidR="000E0A97" w:rsidRPr="00375390" w:rsidRDefault="000E0A97" w:rsidP="000E0A97">
      <w:pPr>
        <w:tabs>
          <w:tab w:val="left" w:pos="567"/>
          <w:tab w:val="right" w:leader="dot" w:pos="8160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E0A97" w:rsidRPr="00375390" w:rsidRDefault="000E0A97" w:rsidP="000E0A97">
      <w:pPr>
        <w:tabs>
          <w:tab w:val="left" w:pos="567"/>
        </w:tabs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7539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Wysokość wadium                                             </w:t>
      </w:r>
      <w:r w:rsidR="00114CC7"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  <w:r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>.000,00 zł</w:t>
      </w:r>
    </w:p>
    <w:p w:rsidR="000E0A97" w:rsidRPr="00375390" w:rsidRDefault="000E0A97" w:rsidP="00C0148D">
      <w:pPr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75390">
        <w:rPr>
          <w:rFonts w:ascii="Arial" w:eastAsia="Times New Roman" w:hAnsi="Arial" w:cs="Arial"/>
          <w:sz w:val="24"/>
          <w:szCs w:val="24"/>
          <w:u w:val="single"/>
          <w:lang w:eastAsia="pl-PL"/>
        </w:rPr>
        <w:t>Wysokość ceny wzrośnie proporcjonalnie do wylicytowanej kwoty.</w:t>
      </w:r>
    </w:p>
    <w:p w:rsidR="000E0A97" w:rsidRPr="00375390" w:rsidRDefault="000E0A97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Lokal wymaga remontu. Nabywca wykona go we własnym zakresie i na własny koszt. </w:t>
      </w:r>
    </w:p>
    <w:p w:rsidR="000E0A97" w:rsidRPr="00375390" w:rsidRDefault="000E0A97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>Sposób zagospodarowania: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utrzymanie istniejącego zagospodarowania jako lokal mieszkalny.</w:t>
      </w:r>
    </w:p>
    <w:p w:rsidR="000E0A97" w:rsidRPr="00375390" w:rsidRDefault="000E0A97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Obciążenia nieruchomości: 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>Nieruchomość nie jest obciążona żadnymi ciężarami, hipotekami ani prawami na rzecz osób trzecich oraz brak jest innych zobowiązań, których przedmiotem jest powyższa nieruchomość.</w:t>
      </w:r>
    </w:p>
    <w:p w:rsidR="000E0A97" w:rsidRPr="00375390" w:rsidRDefault="000E0A97" w:rsidP="000E0A97">
      <w:pPr>
        <w:shd w:val="clear" w:color="auto" w:fill="FFFFFF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>Gmina Międzyrzecz nie posiada świadectwa charakterystyki energetycznej, o którym mowa w art. 3 ustawy z dnia 29 sierpnia 2014 r. o charakterystyce energetycznej budynków (Dz. U. z 2021 r. poz. 497) dla ww. lokalu mieszkalnego.</w:t>
      </w:r>
    </w:p>
    <w:p w:rsidR="000E0A97" w:rsidRPr="00375390" w:rsidRDefault="000E0A97" w:rsidP="00114CC7">
      <w:pPr>
        <w:ind w:right="-28" w:firstLine="851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75390">
        <w:rPr>
          <w:rFonts w:ascii="Arial" w:eastAsia="Times New Roman" w:hAnsi="Arial" w:cs="Arial"/>
          <w:sz w:val="24"/>
          <w:szCs w:val="24"/>
          <w:lang w:eastAsia="pl-PL"/>
        </w:rPr>
        <w:t>Zgodnie z art. 3 ust. 1 i 2 ustawy z dnia 24 czerwca 1994 r. o własności lokali (</w:t>
      </w:r>
      <w:proofErr w:type="spellStart"/>
      <w:r w:rsidRPr="00375390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375390">
        <w:rPr>
          <w:rFonts w:ascii="Arial" w:eastAsia="Times New Roman" w:hAnsi="Arial" w:cs="Arial"/>
          <w:sz w:val="24"/>
          <w:szCs w:val="24"/>
          <w:lang w:eastAsia="pl-PL"/>
        </w:rPr>
        <w:t>. Dz. U. z 2021 r. poz. 1048) „</w:t>
      </w:r>
      <w:r w:rsidRPr="00375390">
        <w:rPr>
          <w:rFonts w:ascii="Arial" w:eastAsia="Times New Roman" w:hAnsi="Arial" w:cs="Arial"/>
          <w:i/>
          <w:sz w:val="24"/>
          <w:szCs w:val="24"/>
          <w:lang w:eastAsia="pl-PL"/>
        </w:rPr>
        <w:t>w razie wyodrębnienia własności lokali właścicielowi lokalu przysługuje udział w nieruchomości wspólnej jako prawo związane z własnością lokali. Nie można żądać zniesienia współwłasności nieruchomości wspólnej, dopóki trwa odrębna własność lokali. Nieruchomość wspólną stanowi grunt oraz części budynku i urządzenia, które nie służą wyłącznie do użytku właścicieli lokali.”</w:t>
      </w:r>
    </w:p>
    <w:p w:rsidR="00745DD9" w:rsidRPr="00375390" w:rsidRDefault="00745DD9" w:rsidP="00114CC7">
      <w:pPr>
        <w:ind w:right="-28"/>
        <w:rPr>
          <w:rFonts w:ascii="Arial" w:eastAsia="Times New Roman" w:hAnsi="Arial" w:cs="Arial"/>
          <w:sz w:val="24"/>
          <w:szCs w:val="24"/>
          <w:lang w:eastAsia="pl-PL"/>
        </w:rPr>
      </w:pP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Pierwszy przetarg na </w:t>
      </w:r>
      <w:r w:rsidR="00DF48FF" w:rsidRPr="00375390">
        <w:rPr>
          <w:rFonts w:ascii="Arial" w:eastAsia="Times New Roman" w:hAnsi="Arial" w:cs="Arial"/>
          <w:sz w:val="24"/>
          <w:szCs w:val="24"/>
          <w:lang w:eastAsia="pl-PL"/>
        </w:rPr>
        <w:t>sprzedaż przedmiotowej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nieruchomość odbył się 19 lipca 2022 r. o godz. 11:00 w</w:t>
      </w:r>
      <w:r w:rsidR="00114CC7" w:rsidRPr="0037539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>Sali Ślubów Urzędu Miejskiego w Międzyrzeczu. Zakończył się wynikiem negatywnym.</w:t>
      </w:r>
    </w:p>
    <w:p w:rsidR="00114CC7" w:rsidRPr="00375390" w:rsidRDefault="00114CC7" w:rsidP="00114CC7">
      <w:pPr>
        <w:ind w:right="-28"/>
        <w:rPr>
          <w:rFonts w:ascii="Arial" w:eastAsia="Times New Roman" w:hAnsi="Arial" w:cs="Arial"/>
          <w:sz w:val="24"/>
          <w:szCs w:val="24"/>
          <w:lang w:eastAsia="pl-PL"/>
        </w:rPr>
      </w:pPr>
      <w:r w:rsidRPr="00375390">
        <w:rPr>
          <w:rFonts w:ascii="Arial" w:eastAsia="Times New Roman" w:hAnsi="Arial" w:cs="Arial"/>
          <w:sz w:val="24"/>
          <w:szCs w:val="24"/>
          <w:lang w:eastAsia="pl-PL"/>
        </w:rPr>
        <w:t>Drugi przetarg na sprzedaż przedmiotowej nieruchomości odbył się 21 września 2022 r. o godz. 10:00 w Sali Ślubów Urzędu Miejskiego w Międzyrzeczu. Zakończył się wynikiem negatywnym.</w:t>
      </w:r>
    </w:p>
    <w:p w:rsidR="00DF48FF" w:rsidRPr="00375390" w:rsidRDefault="00DF48FF" w:rsidP="00DF48FF">
      <w:pPr>
        <w:ind w:right="-28"/>
        <w:rPr>
          <w:rFonts w:ascii="Arial" w:eastAsia="Times New Roman" w:hAnsi="Arial" w:cs="Arial"/>
          <w:sz w:val="24"/>
          <w:szCs w:val="24"/>
          <w:lang w:eastAsia="pl-PL"/>
        </w:rPr>
      </w:pPr>
      <w:r w:rsidRPr="00375390">
        <w:rPr>
          <w:rFonts w:ascii="Arial" w:eastAsia="Times New Roman" w:hAnsi="Arial" w:cs="Arial"/>
          <w:sz w:val="24"/>
          <w:szCs w:val="24"/>
          <w:lang w:eastAsia="pl-PL"/>
        </w:rPr>
        <w:t>Trzeci przetarg na sprzedaż przedmiotowej nieruchomości odbył się 16 listopada 2022 r. o godz. 11:00 w Sali Ślubów Urzędu Miejskiego w Międzyrzeczu. Zakończył się wynikiem negatywnym.</w:t>
      </w:r>
    </w:p>
    <w:p w:rsidR="000E0A97" w:rsidRPr="00375390" w:rsidRDefault="000E0A97" w:rsidP="00C0148D">
      <w:pPr>
        <w:pStyle w:val="Akapitzlist"/>
        <w:numPr>
          <w:ilvl w:val="0"/>
          <w:numId w:val="1"/>
        </w:numPr>
        <w:spacing w:line="240" w:lineRule="auto"/>
        <w:ind w:left="709" w:right="-28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753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Informacje o terminie przetargu i wpłacanych wadiach:</w:t>
      </w:r>
    </w:p>
    <w:p w:rsidR="000E0A97" w:rsidRPr="00375390" w:rsidRDefault="000E0A97" w:rsidP="000E0A97">
      <w:pPr>
        <w:pStyle w:val="Akapitzlist"/>
        <w:numPr>
          <w:ilvl w:val="0"/>
          <w:numId w:val="2"/>
        </w:numPr>
        <w:spacing w:line="240" w:lineRule="auto"/>
        <w:ind w:right="-2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75390">
        <w:rPr>
          <w:rFonts w:ascii="Arial" w:eastAsia="Times New Roman" w:hAnsi="Arial" w:cs="Arial"/>
          <w:sz w:val="24"/>
          <w:szCs w:val="24"/>
          <w:lang w:eastAsia="pl-PL"/>
        </w:rPr>
        <w:t>Termin Przetargu</w:t>
      </w:r>
      <w:r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0E0A97" w:rsidRPr="00375390" w:rsidRDefault="000E0A97" w:rsidP="00474988">
      <w:pPr>
        <w:ind w:left="360" w:right="-28"/>
        <w:rPr>
          <w:rFonts w:ascii="Arial" w:eastAsia="Times New Roman" w:hAnsi="Arial" w:cs="Arial"/>
          <w:sz w:val="24"/>
          <w:szCs w:val="24"/>
          <w:lang w:eastAsia="pl-PL"/>
        </w:rPr>
      </w:pP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Przetarg na lokal mieszkalny nr </w:t>
      </w:r>
      <w:r w:rsidR="00BC5161" w:rsidRPr="00375390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położony w </w:t>
      </w:r>
      <w:r w:rsidR="00455BF8" w:rsidRPr="00375390">
        <w:rPr>
          <w:rFonts w:ascii="Arial" w:eastAsia="Times New Roman" w:hAnsi="Arial" w:cs="Arial"/>
          <w:sz w:val="24"/>
          <w:szCs w:val="24"/>
          <w:lang w:eastAsia="pl-PL"/>
        </w:rPr>
        <w:t>Bukowcu 124</w:t>
      </w:r>
      <w:r w:rsidR="008A23A3" w:rsidRPr="00375390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A46F27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odbędzie się w 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>dniu</w:t>
      </w:r>
      <w:r w:rsidR="00A46F27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6F27" w:rsidRPr="003753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15 lutego</w:t>
      </w:r>
      <w:r w:rsidR="005C6D25" w:rsidRPr="003753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921678" w:rsidRPr="003753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</w:t>
      </w:r>
      <w:r w:rsidR="00DF48FF" w:rsidRPr="003753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</w:t>
      </w:r>
      <w:r w:rsidRPr="003753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r. o godz. </w:t>
      </w:r>
      <w:r w:rsidR="00114CC7" w:rsidRPr="003753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11</w:t>
      </w:r>
      <w:r w:rsidRPr="003753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:00 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>w Sali Ślubów Urzędu Miejskiego w</w:t>
      </w:r>
      <w:r w:rsidR="005C6D25" w:rsidRPr="0037539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A46F27" w:rsidRPr="00375390">
        <w:rPr>
          <w:rFonts w:ascii="Arial" w:eastAsia="Times New Roman" w:hAnsi="Arial" w:cs="Arial"/>
          <w:sz w:val="24"/>
          <w:szCs w:val="24"/>
          <w:lang w:eastAsia="pl-PL"/>
        </w:rPr>
        <w:t>Międzyrzeczu, ul. 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Rynek 1 (budynek Ratusza, parter). </w:t>
      </w:r>
    </w:p>
    <w:p w:rsidR="000E0A97" w:rsidRPr="00375390" w:rsidRDefault="000E0A97" w:rsidP="000E0A9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75390">
        <w:rPr>
          <w:rFonts w:ascii="Arial" w:eastAsia="Times New Roman" w:hAnsi="Arial" w:cs="Arial"/>
          <w:sz w:val="24"/>
          <w:szCs w:val="24"/>
          <w:lang w:eastAsia="pl-PL"/>
        </w:rPr>
        <w:t>Wadium w podanej wysokości, należy wpłacić na konto Gminy Międzyrzecz</w:t>
      </w:r>
      <w:r w:rsidR="00AA4721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nr 06 2030 0045 1110 0000 0131 3280 w Banku BGŻ BNP PARIBAS S.A. </w:t>
      </w:r>
      <w:r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dnia </w:t>
      </w:r>
      <w:r w:rsidR="00A46F27" w:rsidRPr="003753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10 lutego</w:t>
      </w:r>
      <w:r w:rsidR="00314A80" w:rsidRPr="003753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 </w:t>
      </w:r>
      <w:r w:rsidR="00921678" w:rsidRPr="003753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</w:t>
      </w:r>
      <w:r w:rsidR="00DF48FF" w:rsidRPr="003753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</w:t>
      </w:r>
      <w:r w:rsidR="00314A80" w:rsidRPr="003753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 </w:t>
      </w:r>
      <w:r w:rsidRPr="003753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</w:t>
      </w:r>
      <w:r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3753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LICZY SIĘ DATA WPŁYWU NA RACHUNEK BANKOWY 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(dowody i daty wpłaty sprawdzane będą przed rozpoczęciem przetargu). W tytule przelewu należy wskazać </w:t>
      </w:r>
      <w:r w:rsidRPr="00375390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nieruchomość której przetarg dotyczy, w tym przypadku – </w:t>
      </w:r>
      <w:r w:rsidRPr="003753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„</w:t>
      </w:r>
      <w:r w:rsidR="004428C4" w:rsidRPr="003753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Bukowiec 124</w:t>
      </w:r>
      <w:r w:rsidR="008A23A3" w:rsidRPr="003753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</w:t>
      </w:r>
      <w:r w:rsidR="004428C4" w:rsidRPr="003753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/</w:t>
      </w:r>
      <w:r w:rsidR="008A23A3" w:rsidRPr="003753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</w:t>
      </w:r>
      <w:r w:rsidRPr="003753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– lokal mieszkalny”</w:t>
      </w:r>
      <w:r w:rsidRPr="00375390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oraz imię i nazwisko osoby przystępującej do przetargu. </w:t>
      </w:r>
    </w:p>
    <w:p w:rsidR="002A701D" w:rsidRPr="00375390" w:rsidRDefault="002A701D" w:rsidP="002A701D">
      <w:pPr>
        <w:pStyle w:val="Akapitzlist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75390">
        <w:rPr>
          <w:rFonts w:ascii="Arial" w:eastAsia="Times New Roman" w:hAnsi="Arial" w:cs="Arial"/>
          <w:sz w:val="24"/>
          <w:szCs w:val="24"/>
          <w:lang w:eastAsia="pl-PL"/>
        </w:rPr>
        <w:t>Aby uczestniczyć w przet</w:t>
      </w:r>
      <w:r w:rsidR="006509A4" w:rsidRPr="00375390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rgu należy uiścić </w:t>
      </w:r>
      <w:r w:rsidR="006509A4" w:rsidRPr="00375390">
        <w:rPr>
          <w:rFonts w:ascii="Arial" w:eastAsia="Times New Roman" w:hAnsi="Arial" w:cs="Arial"/>
          <w:sz w:val="24"/>
          <w:szCs w:val="24"/>
          <w:lang w:eastAsia="pl-PL"/>
        </w:rPr>
        <w:t>określoną w ogłoszeniu kwotę wadium.</w:t>
      </w:r>
    </w:p>
    <w:p w:rsidR="006509A4" w:rsidRPr="00375390" w:rsidRDefault="006509A4" w:rsidP="002A701D">
      <w:pPr>
        <w:pStyle w:val="Akapitzlist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75390">
        <w:rPr>
          <w:rFonts w:ascii="Arial" w:eastAsia="Times New Roman" w:hAnsi="Arial" w:cs="Arial"/>
          <w:sz w:val="24"/>
          <w:szCs w:val="24"/>
          <w:lang w:eastAsia="pl-PL"/>
        </w:rPr>
        <w:t>Wpłacone wadium przez uczestnika przetargu, który przetarg przegrał będzie przekazane niezwłocznie na wskazany przez Wpłacającego rachunek bankowy nie później niż przed upływem 3 dni od dnia: odwołania przetargu, zamknięcia przetargu, unieważnienia przetargu lub zakończenia się przetargu wynikiem negatywnym.</w:t>
      </w:r>
    </w:p>
    <w:p w:rsidR="006509A4" w:rsidRPr="00375390" w:rsidRDefault="006509A4" w:rsidP="002A701D">
      <w:pPr>
        <w:pStyle w:val="Akapitzlist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Wadium wniesione w pieniądzu przez uczestnika przetargu, który przetarg wygrał, zalicza się na poczet ceny nabycia nieruchomości. </w:t>
      </w:r>
      <w:r w:rsidR="00BC5161" w:rsidRPr="00375390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>enę pomniejszoną o wpłacone wadium należy wpłacić na rachunek bankowy Gminy Międzyrzecz nie później niż do dnia zawarcia umowy notarialnej.</w:t>
      </w:r>
    </w:p>
    <w:p w:rsidR="000E0A97" w:rsidRPr="00375390" w:rsidRDefault="001623D1" w:rsidP="001623D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753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Warunki </w:t>
      </w:r>
      <w:r w:rsidR="002A701D" w:rsidRPr="003753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</w:t>
      </w:r>
      <w:r w:rsidRPr="003753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rzetargu:</w:t>
      </w:r>
    </w:p>
    <w:p w:rsidR="001623D1" w:rsidRPr="00375390" w:rsidRDefault="001623D1" w:rsidP="001623D1">
      <w:pPr>
        <w:numPr>
          <w:ilvl w:val="0"/>
          <w:numId w:val="6"/>
        </w:numPr>
        <w:spacing w:after="200"/>
        <w:contextualSpacing/>
        <w:rPr>
          <w:rFonts w:ascii="Arial" w:eastAsia="Calibri" w:hAnsi="Arial" w:cs="Arial"/>
          <w:sz w:val="24"/>
          <w:szCs w:val="24"/>
        </w:rPr>
      </w:pPr>
      <w:r w:rsidRPr="00375390">
        <w:rPr>
          <w:rFonts w:ascii="Arial" w:eastAsia="Calibri" w:hAnsi="Arial" w:cs="Arial"/>
          <w:sz w:val="24"/>
          <w:szCs w:val="24"/>
        </w:rPr>
        <w:t>Uczestnik przetargu winien posiadać dowód tożsamości bądź inny dokument pozwalający na zweryfikowanie tożsamości osoby przystępującej do przetargu.</w:t>
      </w:r>
    </w:p>
    <w:p w:rsidR="001623D1" w:rsidRPr="00375390" w:rsidRDefault="001623D1" w:rsidP="006509A4">
      <w:pPr>
        <w:numPr>
          <w:ilvl w:val="0"/>
          <w:numId w:val="6"/>
        </w:numPr>
        <w:contextualSpacing/>
        <w:rPr>
          <w:rFonts w:ascii="Arial" w:eastAsia="Calibri" w:hAnsi="Arial" w:cs="Arial"/>
          <w:sz w:val="24"/>
          <w:szCs w:val="24"/>
        </w:rPr>
      </w:pPr>
      <w:r w:rsidRPr="00375390">
        <w:rPr>
          <w:rFonts w:ascii="Arial" w:eastAsia="Calibri" w:hAnsi="Arial" w:cs="Arial"/>
          <w:sz w:val="24"/>
          <w:szCs w:val="24"/>
        </w:rPr>
        <w:t>Przetarg przeprowadzony zostanie w oparciu o przepisy Rozporządzenia Rady Ministrów z dnia 14 września 2004 r. w sprawie sposobu i trybu przeprowadzania przetargów oraz rokowań na zbycie nieruchomości (</w:t>
      </w:r>
      <w:proofErr w:type="spellStart"/>
      <w:r w:rsidRPr="00375390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375390">
        <w:rPr>
          <w:rFonts w:ascii="Arial" w:eastAsia="Calibri" w:hAnsi="Arial" w:cs="Arial"/>
          <w:sz w:val="24"/>
          <w:szCs w:val="24"/>
        </w:rPr>
        <w:t xml:space="preserve">. Dz. U. z </w:t>
      </w:r>
      <w:r w:rsidR="00BC5161" w:rsidRPr="00375390">
        <w:rPr>
          <w:rFonts w:ascii="Arial" w:eastAsia="Calibri" w:hAnsi="Arial" w:cs="Arial"/>
          <w:sz w:val="24"/>
          <w:szCs w:val="24"/>
        </w:rPr>
        <w:t>2021</w:t>
      </w:r>
      <w:r w:rsidRPr="00375390">
        <w:rPr>
          <w:rFonts w:ascii="Arial" w:eastAsia="Calibri" w:hAnsi="Arial" w:cs="Arial"/>
          <w:sz w:val="24"/>
          <w:szCs w:val="24"/>
        </w:rPr>
        <w:t xml:space="preserve">, poz. </w:t>
      </w:r>
      <w:r w:rsidR="00000DA4" w:rsidRPr="00375390">
        <w:rPr>
          <w:rFonts w:ascii="Arial" w:eastAsia="Calibri" w:hAnsi="Arial" w:cs="Arial"/>
          <w:sz w:val="24"/>
          <w:szCs w:val="24"/>
        </w:rPr>
        <w:t>2213</w:t>
      </w:r>
      <w:r w:rsidRPr="00375390">
        <w:rPr>
          <w:rFonts w:ascii="Arial" w:eastAsia="Calibri" w:hAnsi="Arial" w:cs="Arial"/>
          <w:sz w:val="24"/>
          <w:szCs w:val="24"/>
        </w:rPr>
        <w:t>)</w:t>
      </w:r>
      <w:r w:rsidR="00000DA4" w:rsidRPr="00375390">
        <w:rPr>
          <w:rFonts w:ascii="Arial" w:eastAsia="Calibri" w:hAnsi="Arial" w:cs="Arial"/>
          <w:sz w:val="24"/>
          <w:szCs w:val="24"/>
        </w:rPr>
        <w:t>.</w:t>
      </w:r>
    </w:p>
    <w:p w:rsidR="002A701D" w:rsidRPr="00375390" w:rsidRDefault="002A701D" w:rsidP="006509A4">
      <w:pPr>
        <w:pStyle w:val="Akapitzlist"/>
        <w:numPr>
          <w:ilvl w:val="0"/>
          <w:numId w:val="6"/>
        </w:numPr>
        <w:rPr>
          <w:rFonts w:ascii="Arial" w:eastAsia="Calibri" w:hAnsi="Arial" w:cs="Arial"/>
          <w:sz w:val="24"/>
          <w:szCs w:val="24"/>
        </w:rPr>
      </w:pPr>
      <w:r w:rsidRPr="00375390">
        <w:rPr>
          <w:rFonts w:ascii="Arial" w:eastAsia="Calibri" w:hAnsi="Arial" w:cs="Arial"/>
          <w:sz w:val="24"/>
          <w:szCs w:val="24"/>
        </w:rPr>
        <w:t>Przetarg może się odbyć bez względu na liczbę uczestników przetargu i jest ważny, jeżeli przynajmniej jeden uczestnik zaoferował co najmniej jedno postąpienie powyżej ceny wywoławczej. Postąpienie nie może wynosić mniej niż 1% ceny wywoławczej z</w:t>
      </w:r>
      <w:r w:rsidR="00000DA4" w:rsidRPr="00375390">
        <w:rPr>
          <w:rFonts w:ascii="Arial" w:eastAsia="Calibri" w:hAnsi="Arial" w:cs="Arial"/>
          <w:sz w:val="24"/>
          <w:szCs w:val="24"/>
        </w:rPr>
        <w:t> </w:t>
      </w:r>
      <w:r w:rsidRPr="00375390">
        <w:rPr>
          <w:rFonts w:ascii="Arial" w:eastAsia="Calibri" w:hAnsi="Arial" w:cs="Arial"/>
          <w:sz w:val="24"/>
          <w:szCs w:val="24"/>
        </w:rPr>
        <w:t>zaokrągleniem w górę do pełnych dziesiątek złotych.</w:t>
      </w:r>
    </w:p>
    <w:p w:rsidR="001623D1" w:rsidRPr="00375390" w:rsidRDefault="001623D1" w:rsidP="00000DA4">
      <w:pPr>
        <w:numPr>
          <w:ilvl w:val="0"/>
          <w:numId w:val="6"/>
        </w:numPr>
        <w:contextualSpacing/>
        <w:rPr>
          <w:rFonts w:ascii="Arial" w:eastAsia="Calibri" w:hAnsi="Arial" w:cs="Arial"/>
          <w:sz w:val="24"/>
          <w:szCs w:val="24"/>
        </w:rPr>
      </w:pPr>
      <w:r w:rsidRPr="00375390">
        <w:rPr>
          <w:rFonts w:ascii="Arial" w:eastAsia="Calibri" w:hAnsi="Arial" w:cs="Arial"/>
          <w:sz w:val="24"/>
          <w:szCs w:val="24"/>
        </w:rPr>
        <w:t>W przypadku gdy uczestnikiem przetargu jest osoba prawna, osoba upoważniona do reprezentowania uczestnika przetargu powinna przedłożyć do wglądu aktualny wypis z Krajowego Rejestru Sądowego. Jeżeli uczestnik reprezentowany jest przez pełnomocnika, konieczne jest przedłożenie oryginału poświadczonego notarialnie pełnomocnictwa upoważniającego do działania na każdym etapie postępowania przetargowego.</w:t>
      </w:r>
    </w:p>
    <w:p w:rsidR="000E0A97" w:rsidRPr="00375390" w:rsidRDefault="000E0A97" w:rsidP="00000DA4">
      <w:pPr>
        <w:pStyle w:val="Akapitzlist"/>
        <w:numPr>
          <w:ilvl w:val="0"/>
          <w:numId w:val="1"/>
        </w:numPr>
        <w:ind w:left="709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7539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Informacje dodatkowe</w:t>
      </w:r>
    </w:p>
    <w:p w:rsidR="002A701D" w:rsidRPr="00375390" w:rsidRDefault="002A701D" w:rsidP="002A701D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375390">
        <w:rPr>
          <w:rFonts w:ascii="Arial" w:eastAsia="Times New Roman" w:hAnsi="Arial" w:cs="Arial"/>
          <w:sz w:val="24"/>
          <w:szCs w:val="24"/>
          <w:lang w:eastAsia="pl-PL"/>
        </w:rPr>
        <w:t>Termin składania wniosków przez osoby, którym przysługuje pierwszeństwo w nabyciu nieruchomości na podstawie art. 34 ust. 1 i 2 ustawy z dnia 21 sierpnia 1997 r. o</w:t>
      </w:r>
      <w:r w:rsidR="00000DA4" w:rsidRPr="0037539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>gospodarce nieruchomościami (</w:t>
      </w:r>
      <w:proofErr w:type="spellStart"/>
      <w:r w:rsidRPr="00375390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. Dz. U. z 2021 r. poz.1899 ze zm.) upłynął </w:t>
      </w:r>
      <w:r w:rsidRPr="00375390">
        <w:rPr>
          <w:rFonts w:ascii="Arial" w:hAnsi="Arial" w:cs="Arial"/>
        </w:rPr>
        <w:t>02</w:t>
      </w:r>
      <w:r w:rsidR="00000DA4" w:rsidRPr="00375390">
        <w:rPr>
          <w:rFonts w:ascii="Arial" w:hAnsi="Arial" w:cs="Arial"/>
        </w:rPr>
        <w:t> </w:t>
      </w:r>
      <w:r w:rsidRPr="00375390">
        <w:rPr>
          <w:rFonts w:ascii="Arial" w:hAnsi="Arial" w:cs="Arial"/>
        </w:rPr>
        <w:t>maja</w:t>
      </w:r>
      <w:r w:rsidR="00000DA4" w:rsidRPr="0037539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>2022 r.</w:t>
      </w:r>
    </w:p>
    <w:p w:rsidR="003A5197" w:rsidRPr="00375390" w:rsidRDefault="003A5197" w:rsidP="003A5197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375390">
        <w:rPr>
          <w:rFonts w:ascii="Arial" w:eastAsia="Times New Roman" w:hAnsi="Arial" w:cs="Arial"/>
          <w:sz w:val="24"/>
          <w:szCs w:val="24"/>
          <w:lang w:eastAsia="pl-PL"/>
        </w:rPr>
        <w:t>O terminie zawarcia umowy notarialnej nabywca zostanie powiadomiony do 21 dni od</w:t>
      </w:r>
      <w:r w:rsidR="00000DA4" w:rsidRPr="0037539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>daty rozstrzygnięcia przetargu</w:t>
      </w:r>
    </w:p>
    <w:p w:rsidR="003A5197" w:rsidRPr="00375390" w:rsidRDefault="003A5197" w:rsidP="003A5197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375390">
        <w:rPr>
          <w:rFonts w:ascii="Arial" w:eastAsia="Times New Roman" w:hAnsi="Arial" w:cs="Arial"/>
          <w:sz w:val="24"/>
          <w:szCs w:val="24"/>
          <w:lang w:eastAsia="pl-PL"/>
        </w:rPr>
        <w:t>Jeżeli osoba ustalona jako Nabywca nieruchomości nie stawi się bez usprawiedliwienia w</w:t>
      </w:r>
      <w:r w:rsidR="00000DA4" w:rsidRPr="0037539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ustalonym </w:t>
      </w:r>
      <w:r w:rsidR="00000DA4" w:rsidRPr="00375390">
        <w:rPr>
          <w:rFonts w:ascii="Arial" w:eastAsia="Times New Roman" w:hAnsi="Arial" w:cs="Arial"/>
          <w:sz w:val="24"/>
          <w:szCs w:val="24"/>
          <w:lang w:eastAsia="pl-PL"/>
        </w:rPr>
        <w:t>ze Sprzedającym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terminie w kancelarii notarialnej, Burmistrz Międzyrzecza może odstąpić od zawarcia umowy, a wpłacone wadium nie podlega zwrotowi.</w:t>
      </w:r>
    </w:p>
    <w:p w:rsidR="000E0A97" w:rsidRPr="00375390" w:rsidRDefault="000E0A97" w:rsidP="000E0A97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37539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Opłaty notarialne i sądowe związane z zawarciem umowy sprzedaży w formie aktu notarialnego oraz przeprowadzenia postępowania wieczystoksięgowego w całości ponosi Nabywca.</w:t>
      </w:r>
    </w:p>
    <w:p w:rsidR="000E0A97" w:rsidRPr="00375390" w:rsidRDefault="000E0A97" w:rsidP="00C70890">
      <w:pPr>
        <w:pStyle w:val="Akapitzlist"/>
        <w:numPr>
          <w:ilvl w:val="0"/>
          <w:numId w:val="3"/>
        </w:numPr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375390">
        <w:rPr>
          <w:rFonts w:ascii="Arial" w:eastAsia="Times New Roman" w:hAnsi="Arial" w:cs="Arial"/>
          <w:sz w:val="24"/>
          <w:szCs w:val="24"/>
          <w:lang w:eastAsia="pl-PL"/>
        </w:rPr>
        <w:t>Ogłoszenie o przetargu wywieszone jest na tablicy ogłoszeń w siedzibie Urzędu Miejskie</w:t>
      </w:r>
      <w:r w:rsidR="00921678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go w Międzyrzeczu, ul. Rynek 1, zostało opublikowane 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>w prasie lokalnej oraz na</w:t>
      </w:r>
      <w:r w:rsidR="00000DA4" w:rsidRPr="0037539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>stronach internetowych:</w:t>
      </w:r>
      <w:r w:rsidR="00921678"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6" w:history="1">
        <w:r w:rsidR="00C70890" w:rsidRPr="0037539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www.bip.miedzyrzecz</w:t>
        </w:r>
      </w:hyperlink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hyperlink r:id="rId7" w:history="1">
        <w:r w:rsidR="00921678" w:rsidRPr="0037539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www.miedzyrzecz.pl</w:t>
        </w:r>
      </w:hyperlink>
    </w:p>
    <w:p w:rsidR="000E0A97" w:rsidRPr="00375390" w:rsidRDefault="000E0A97" w:rsidP="000E0A97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375390">
        <w:rPr>
          <w:rFonts w:ascii="Arial" w:eastAsia="Times New Roman" w:hAnsi="Arial" w:cs="Arial"/>
          <w:sz w:val="24"/>
          <w:szCs w:val="24"/>
          <w:lang w:eastAsia="pl-PL"/>
        </w:rPr>
        <w:t>Zastrzega się prawo odwołania przetargu z ważnych powodów.</w:t>
      </w:r>
    </w:p>
    <w:p w:rsidR="000E0A97" w:rsidRPr="00375390" w:rsidRDefault="000E0A97" w:rsidP="000E0A9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75390">
        <w:rPr>
          <w:rFonts w:ascii="Arial" w:eastAsia="Times New Roman" w:hAnsi="Arial" w:cs="Arial"/>
          <w:sz w:val="24"/>
          <w:szCs w:val="24"/>
          <w:lang w:eastAsia="pl-PL"/>
        </w:rPr>
        <w:t xml:space="preserve">Informacji na temat przetargu udzielają pracownicy Wydziału Gospodarki Mieniem, Urzędu Miejskiego w Międzyrzeczu tel. 95 742 69 </w:t>
      </w:r>
      <w:r w:rsidR="002A3204" w:rsidRPr="00375390">
        <w:rPr>
          <w:rFonts w:ascii="Arial" w:eastAsia="Times New Roman" w:hAnsi="Arial" w:cs="Arial"/>
          <w:sz w:val="24"/>
          <w:szCs w:val="24"/>
          <w:lang w:eastAsia="pl-PL"/>
        </w:rPr>
        <w:t>47</w:t>
      </w:r>
      <w:r w:rsidRPr="0037539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A701D" w:rsidRPr="00375390" w:rsidRDefault="002A701D" w:rsidP="002A701D">
      <w:pPr>
        <w:pStyle w:val="Akapitzlist"/>
        <w:spacing w:line="240" w:lineRule="auto"/>
        <w:jc w:val="left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75390" w:rsidRPr="00375390" w:rsidRDefault="00375390" w:rsidP="002A701D">
      <w:pPr>
        <w:pStyle w:val="Akapitzlist"/>
        <w:spacing w:line="240" w:lineRule="auto"/>
        <w:jc w:val="left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75390" w:rsidRPr="00375390" w:rsidRDefault="00375390" w:rsidP="002A701D">
      <w:pPr>
        <w:pStyle w:val="Akapitzlist"/>
        <w:spacing w:line="240" w:lineRule="auto"/>
        <w:jc w:val="left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75390" w:rsidRPr="00375390" w:rsidRDefault="00375390" w:rsidP="002A701D">
      <w:pPr>
        <w:pStyle w:val="Akapitzlist"/>
        <w:spacing w:line="240" w:lineRule="auto"/>
        <w:jc w:val="left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75390" w:rsidRPr="00375390" w:rsidRDefault="00375390" w:rsidP="00375390">
      <w:pPr>
        <w:pStyle w:val="Akapitzlist"/>
        <w:spacing w:line="240" w:lineRule="auto"/>
        <w:ind w:left="5103"/>
        <w:jc w:val="left"/>
        <w:rPr>
          <w:rFonts w:ascii="Arial" w:eastAsia="Calibri" w:hAnsi="Arial" w:cs="Arial"/>
          <w:sz w:val="18"/>
          <w:szCs w:val="18"/>
        </w:rPr>
      </w:pPr>
      <w:r w:rsidRPr="00375390">
        <w:rPr>
          <w:rFonts w:ascii="Arial" w:eastAsia="Calibri" w:hAnsi="Arial" w:cs="Arial"/>
          <w:sz w:val="18"/>
          <w:szCs w:val="18"/>
        </w:rPr>
        <w:t>Z up. BURMISTRZA</w:t>
      </w:r>
    </w:p>
    <w:p w:rsidR="00375390" w:rsidRPr="00375390" w:rsidRDefault="00375390" w:rsidP="00375390">
      <w:pPr>
        <w:pStyle w:val="Akapitzlist"/>
        <w:spacing w:line="240" w:lineRule="auto"/>
        <w:ind w:left="5103"/>
        <w:jc w:val="left"/>
        <w:rPr>
          <w:rFonts w:ascii="Arial" w:eastAsia="Calibri" w:hAnsi="Arial" w:cs="Arial"/>
          <w:sz w:val="18"/>
          <w:szCs w:val="18"/>
        </w:rPr>
      </w:pPr>
    </w:p>
    <w:p w:rsidR="00375390" w:rsidRPr="00375390" w:rsidRDefault="00375390" w:rsidP="00375390">
      <w:pPr>
        <w:spacing w:line="240" w:lineRule="auto"/>
        <w:ind w:left="4248" w:firstLine="708"/>
        <w:jc w:val="left"/>
        <w:rPr>
          <w:rFonts w:ascii="Arial" w:eastAsia="Calibri" w:hAnsi="Arial" w:cs="Arial"/>
          <w:sz w:val="18"/>
          <w:szCs w:val="18"/>
        </w:rPr>
      </w:pPr>
      <w:r w:rsidRPr="00375390">
        <w:rPr>
          <w:rFonts w:ascii="Arial" w:eastAsia="Calibri" w:hAnsi="Arial" w:cs="Arial"/>
          <w:sz w:val="18"/>
          <w:szCs w:val="18"/>
        </w:rPr>
        <w:t>mgr Tomasz Markiewicz</w:t>
      </w:r>
    </w:p>
    <w:p w:rsidR="00375390" w:rsidRPr="00375390" w:rsidRDefault="00375390" w:rsidP="00375390">
      <w:pPr>
        <w:pStyle w:val="Akapitzlist"/>
        <w:spacing w:line="240" w:lineRule="auto"/>
        <w:ind w:left="5103"/>
        <w:jc w:val="left"/>
        <w:rPr>
          <w:rFonts w:ascii="Arial" w:eastAsia="Calibri" w:hAnsi="Arial" w:cs="Arial"/>
          <w:sz w:val="18"/>
          <w:szCs w:val="18"/>
        </w:rPr>
      </w:pPr>
      <w:r w:rsidRPr="00375390">
        <w:rPr>
          <w:rFonts w:ascii="Arial" w:eastAsia="Calibri" w:hAnsi="Arial" w:cs="Arial"/>
          <w:sz w:val="18"/>
          <w:szCs w:val="18"/>
        </w:rPr>
        <w:t>Zastępca Burmistrza</w:t>
      </w:r>
    </w:p>
    <w:sectPr w:rsidR="00375390" w:rsidRPr="0037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1202"/>
    <w:multiLevelType w:val="hybridMultilevel"/>
    <w:tmpl w:val="4E14A3DA"/>
    <w:lvl w:ilvl="0" w:tplc="3850D1CE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7357D"/>
    <w:multiLevelType w:val="hybridMultilevel"/>
    <w:tmpl w:val="06089BD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917033"/>
    <w:multiLevelType w:val="hybridMultilevel"/>
    <w:tmpl w:val="8DF6AE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7D359F"/>
    <w:multiLevelType w:val="hybridMultilevel"/>
    <w:tmpl w:val="FC526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04A60"/>
    <w:multiLevelType w:val="hybridMultilevel"/>
    <w:tmpl w:val="3CF4E96E"/>
    <w:lvl w:ilvl="0" w:tplc="A3EE6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2A2FFC"/>
    <w:multiLevelType w:val="hybridMultilevel"/>
    <w:tmpl w:val="183636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E6"/>
    <w:rsid w:val="00000DA4"/>
    <w:rsid w:val="00062747"/>
    <w:rsid w:val="000A2A56"/>
    <w:rsid w:val="000B27A4"/>
    <w:rsid w:val="000E0A97"/>
    <w:rsid w:val="00114CC7"/>
    <w:rsid w:val="00135AE6"/>
    <w:rsid w:val="0015130C"/>
    <w:rsid w:val="001623D1"/>
    <w:rsid w:val="00193792"/>
    <w:rsid w:val="00202A84"/>
    <w:rsid w:val="00204A36"/>
    <w:rsid w:val="0028129B"/>
    <w:rsid w:val="002975C0"/>
    <w:rsid w:val="002A3204"/>
    <w:rsid w:val="002A701D"/>
    <w:rsid w:val="00314A80"/>
    <w:rsid w:val="0032430F"/>
    <w:rsid w:val="0033407C"/>
    <w:rsid w:val="00375390"/>
    <w:rsid w:val="003A5197"/>
    <w:rsid w:val="003E2A17"/>
    <w:rsid w:val="003E4789"/>
    <w:rsid w:val="00422F6D"/>
    <w:rsid w:val="004428C4"/>
    <w:rsid w:val="0045445A"/>
    <w:rsid w:val="00455BF8"/>
    <w:rsid w:val="0045626D"/>
    <w:rsid w:val="00474988"/>
    <w:rsid w:val="00517516"/>
    <w:rsid w:val="005747BA"/>
    <w:rsid w:val="005C6D25"/>
    <w:rsid w:val="005F3E79"/>
    <w:rsid w:val="006126FD"/>
    <w:rsid w:val="00647D9C"/>
    <w:rsid w:val="006509A4"/>
    <w:rsid w:val="006A3FCB"/>
    <w:rsid w:val="006B0F60"/>
    <w:rsid w:val="006C5FBE"/>
    <w:rsid w:val="00720B25"/>
    <w:rsid w:val="00745DD9"/>
    <w:rsid w:val="007634BE"/>
    <w:rsid w:val="007962C0"/>
    <w:rsid w:val="007B0DD3"/>
    <w:rsid w:val="007B6D00"/>
    <w:rsid w:val="007D7992"/>
    <w:rsid w:val="00872D6C"/>
    <w:rsid w:val="008A23A3"/>
    <w:rsid w:val="008A66EC"/>
    <w:rsid w:val="008D2EFC"/>
    <w:rsid w:val="00921678"/>
    <w:rsid w:val="009730BC"/>
    <w:rsid w:val="00992BDC"/>
    <w:rsid w:val="009A3E87"/>
    <w:rsid w:val="009F1A20"/>
    <w:rsid w:val="00A24C64"/>
    <w:rsid w:val="00A33F84"/>
    <w:rsid w:val="00A34F99"/>
    <w:rsid w:val="00A46F27"/>
    <w:rsid w:val="00AA4721"/>
    <w:rsid w:val="00AB6517"/>
    <w:rsid w:val="00AF4C57"/>
    <w:rsid w:val="00B158A8"/>
    <w:rsid w:val="00B730A8"/>
    <w:rsid w:val="00BC5161"/>
    <w:rsid w:val="00BD6649"/>
    <w:rsid w:val="00C0148D"/>
    <w:rsid w:val="00C102CA"/>
    <w:rsid w:val="00C70890"/>
    <w:rsid w:val="00CC4480"/>
    <w:rsid w:val="00D743BA"/>
    <w:rsid w:val="00DD28EF"/>
    <w:rsid w:val="00DF48FF"/>
    <w:rsid w:val="00E401B6"/>
    <w:rsid w:val="00E62784"/>
    <w:rsid w:val="00EA37BF"/>
    <w:rsid w:val="00EB3932"/>
    <w:rsid w:val="00E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0A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0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0A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0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edzyrz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iedzyrze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mrogala</cp:lastModifiedBy>
  <cp:revision>2</cp:revision>
  <cp:lastPrinted>2023-01-03T08:50:00Z</cp:lastPrinted>
  <dcterms:created xsi:type="dcterms:W3CDTF">2023-01-09T11:24:00Z</dcterms:created>
  <dcterms:modified xsi:type="dcterms:W3CDTF">2023-01-09T11:24:00Z</dcterms:modified>
</cp:coreProperties>
</file>