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5" w:rsidRPr="00E028E5" w:rsidRDefault="00E028E5" w:rsidP="00CC56F4">
      <w:pPr>
        <w:spacing w:after="0"/>
        <w:rPr>
          <w:rFonts w:ascii="Arial" w:hAnsi="Arial" w:cs="Arial"/>
          <w:sz w:val="18"/>
          <w:szCs w:val="18"/>
        </w:rPr>
      </w:pPr>
      <w:r w:rsidRPr="00E028E5">
        <w:rPr>
          <w:rFonts w:ascii="Arial" w:hAnsi="Arial" w:cs="Arial"/>
          <w:sz w:val="18"/>
          <w:szCs w:val="18"/>
        </w:rPr>
        <w:t>BURMISTRZ MIĘDZYRZECZA</w:t>
      </w:r>
    </w:p>
    <w:p w:rsidR="00E028E5" w:rsidRPr="00E028E5" w:rsidRDefault="00E028E5" w:rsidP="00E028E5">
      <w:pPr>
        <w:spacing w:after="0"/>
        <w:ind w:left="993"/>
        <w:rPr>
          <w:rFonts w:ascii="Arial" w:hAnsi="Arial" w:cs="Arial"/>
          <w:sz w:val="18"/>
          <w:szCs w:val="18"/>
        </w:rPr>
      </w:pPr>
      <w:r w:rsidRPr="00E028E5">
        <w:rPr>
          <w:rFonts w:ascii="Arial" w:hAnsi="Arial" w:cs="Arial"/>
          <w:sz w:val="18"/>
          <w:szCs w:val="18"/>
        </w:rPr>
        <w:t>RYNEK 1</w:t>
      </w:r>
    </w:p>
    <w:p w:rsidR="00E028E5" w:rsidRPr="00E028E5" w:rsidRDefault="00E028E5" w:rsidP="00E028E5">
      <w:pPr>
        <w:spacing w:after="0"/>
        <w:ind w:left="284"/>
        <w:rPr>
          <w:rFonts w:ascii="Arial" w:hAnsi="Arial" w:cs="Arial"/>
          <w:sz w:val="18"/>
          <w:szCs w:val="18"/>
        </w:rPr>
      </w:pPr>
      <w:r w:rsidRPr="00E028E5">
        <w:rPr>
          <w:rFonts w:ascii="Arial" w:hAnsi="Arial" w:cs="Arial"/>
          <w:sz w:val="18"/>
          <w:szCs w:val="18"/>
        </w:rPr>
        <w:t>66-300 MIĘDZYRZECZ</w:t>
      </w:r>
    </w:p>
    <w:p w:rsidR="00E028E5" w:rsidRDefault="00E028E5" w:rsidP="00CC5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6F4" w:rsidRPr="00E028E5" w:rsidRDefault="00CC56F4" w:rsidP="00CC56F4">
      <w:pPr>
        <w:spacing w:after="0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WGM.6840.</w:t>
      </w:r>
      <w:r w:rsidR="00971B51" w:rsidRPr="00E028E5">
        <w:rPr>
          <w:rFonts w:ascii="Arial" w:hAnsi="Arial" w:cs="Arial"/>
          <w:sz w:val="24"/>
          <w:szCs w:val="24"/>
        </w:rPr>
        <w:t>55</w:t>
      </w:r>
      <w:r w:rsidRPr="00E028E5">
        <w:rPr>
          <w:rFonts w:ascii="Arial" w:hAnsi="Arial" w:cs="Arial"/>
          <w:sz w:val="24"/>
          <w:szCs w:val="24"/>
        </w:rPr>
        <w:t>.2019</w:t>
      </w:r>
    </w:p>
    <w:p w:rsidR="006B56A3" w:rsidRPr="00E028E5" w:rsidRDefault="0076558C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b/>
          <w:sz w:val="24"/>
          <w:szCs w:val="24"/>
        </w:rPr>
        <w:t>BURMISTRZ MIĘDZYRZECZA</w:t>
      </w:r>
      <w:r w:rsidRPr="00E028E5">
        <w:rPr>
          <w:rFonts w:ascii="Arial" w:hAnsi="Arial" w:cs="Arial"/>
          <w:sz w:val="24"/>
          <w:szCs w:val="24"/>
        </w:rPr>
        <w:t xml:space="preserve"> ogłasza</w:t>
      </w:r>
    </w:p>
    <w:p w:rsidR="0076558C" w:rsidRPr="00E028E5" w:rsidRDefault="00C41D6D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pierwszy</w:t>
      </w:r>
      <w:r w:rsidR="0076558C" w:rsidRPr="00E028E5">
        <w:rPr>
          <w:rFonts w:ascii="Arial" w:hAnsi="Arial" w:cs="Arial"/>
          <w:sz w:val="24"/>
          <w:szCs w:val="24"/>
        </w:rPr>
        <w:t xml:space="preserve"> przetarg ustny nieograniczony na sprzedaż:</w:t>
      </w:r>
    </w:p>
    <w:p w:rsidR="00CC56F4" w:rsidRPr="00E028E5" w:rsidRDefault="00CC56F4" w:rsidP="00CC56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7093" w:rsidRPr="00E028E5" w:rsidRDefault="00CB7093" w:rsidP="00D7630E">
      <w:pPr>
        <w:jc w:val="both"/>
        <w:rPr>
          <w:rFonts w:ascii="Arial" w:hAnsi="Arial" w:cs="Arial"/>
          <w:b/>
          <w:sz w:val="24"/>
          <w:szCs w:val="24"/>
        </w:rPr>
      </w:pPr>
      <w:r w:rsidRPr="00E028E5">
        <w:rPr>
          <w:rFonts w:ascii="Arial" w:hAnsi="Arial" w:cs="Arial"/>
          <w:b/>
          <w:sz w:val="24"/>
          <w:szCs w:val="24"/>
        </w:rPr>
        <w:t xml:space="preserve">lokalu </w:t>
      </w:r>
      <w:r w:rsidR="00971B51" w:rsidRPr="00E028E5">
        <w:rPr>
          <w:rFonts w:ascii="Arial" w:hAnsi="Arial" w:cs="Arial"/>
          <w:b/>
          <w:sz w:val="24"/>
          <w:szCs w:val="24"/>
        </w:rPr>
        <w:t>mieszkalnego</w:t>
      </w:r>
      <w:r w:rsidRPr="00E028E5">
        <w:rPr>
          <w:rFonts w:ascii="Arial" w:hAnsi="Arial" w:cs="Arial"/>
          <w:sz w:val="24"/>
          <w:szCs w:val="24"/>
        </w:rPr>
        <w:t xml:space="preserve">, położonego w budynku </w:t>
      </w:r>
      <w:r w:rsidR="00971B51" w:rsidRPr="00E028E5">
        <w:rPr>
          <w:rFonts w:ascii="Arial" w:hAnsi="Arial" w:cs="Arial"/>
          <w:sz w:val="24"/>
          <w:szCs w:val="24"/>
        </w:rPr>
        <w:t xml:space="preserve">nr 30 </w:t>
      </w:r>
      <w:r w:rsidRPr="00E028E5">
        <w:rPr>
          <w:rFonts w:ascii="Arial" w:hAnsi="Arial" w:cs="Arial"/>
          <w:sz w:val="24"/>
          <w:szCs w:val="24"/>
        </w:rPr>
        <w:t xml:space="preserve">przy </w:t>
      </w:r>
      <w:r w:rsidRPr="00E028E5">
        <w:rPr>
          <w:rFonts w:ascii="Arial" w:hAnsi="Arial" w:cs="Arial"/>
          <w:b/>
          <w:sz w:val="24"/>
          <w:szCs w:val="24"/>
        </w:rPr>
        <w:t xml:space="preserve">ul. </w:t>
      </w:r>
      <w:r w:rsidR="00971B51" w:rsidRPr="00E028E5">
        <w:rPr>
          <w:rFonts w:ascii="Arial" w:hAnsi="Arial" w:cs="Arial"/>
          <w:b/>
          <w:sz w:val="24"/>
          <w:szCs w:val="24"/>
        </w:rPr>
        <w:t>Winnica</w:t>
      </w:r>
      <w:r w:rsidRPr="00E028E5">
        <w:rPr>
          <w:rFonts w:ascii="Arial" w:hAnsi="Arial" w:cs="Arial"/>
          <w:sz w:val="24"/>
          <w:szCs w:val="24"/>
        </w:rPr>
        <w:t xml:space="preserve">, obręb </w:t>
      </w:r>
      <w:r w:rsidR="00C41D6D" w:rsidRPr="00E028E5">
        <w:rPr>
          <w:rFonts w:ascii="Arial" w:hAnsi="Arial" w:cs="Arial"/>
          <w:sz w:val="24"/>
          <w:szCs w:val="24"/>
        </w:rPr>
        <w:t>0002</w:t>
      </w:r>
      <w:r w:rsidRPr="00E028E5">
        <w:rPr>
          <w:rFonts w:ascii="Arial" w:hAnsi="Arial" w:cs="Arial"/>
          <w:sz w:val="24"/>
          <w:szCs w:val="24"/>
        </w:rPr>
        <w:t xml:space="preserve"> Międzyrzecz</w:t>
      </w:r>
      <w:r w:rsidR="00D7630E" w:rsidRPr="00E028E5">
        <w:rPr>
          <w:rFonts w:ascii="Arial" w:hAnsi="Arial" w:cs="Arial"/>
          <w:sz w:val="24"/>
          <w:szCs w:val="24"/>
        </w:rPr>
        <w:t>,</w:t>
      </w:r>
      <w:r w:rsidRPr="00E028E5">
        <w:rPr>
          <w:rFonts w:ascii="Arial" w:hAnsi="Arial" w:cs="Arial"/>
          <w:sz w:val="24"/>
          <w:szCs w:val="24"/>
        </w:rPr>
        <w:t xml:space="preserve"> </w:t>
      </w:r>
      <w:r w:rsidR="00C41D6D" w:rsidRPr="00E028E5">
        <w:rPr>
          <w:rFonts w:ascii="Arial" w:hAnsi="Arial" w:cs="Arial"/>
          <w:sz w:val="24"/>
          <w:szCs w:val="24"/>
        </w:rPr>
        <w:t xml:space="preserve">posadowionego na działce oznaczonej ewidencyjnie nr </w:t>
      </w:r>
      <w:r w:rsidR="00971B51" w:rsidRPr="00E028E5">
        <w:rPr>
          <w:rFonts w:ascii="Arial" w:hAnsi="Arial" w:cs="Arial"/>
          <w:sz w:val="24"/>
          <w:szCs w:val="24"/>
        </w:rPr>
        <w:t>257</w:t>
      </w:r>
      <w:r w:rsidR="00C41D6D" w:rsidRPr="00E028E5">
        <w:rPr>
          <w:rFonts w:ascii="Arial" w:hAnsi="Arial" w:cs="Arial"/>
          <w:sz w:val="24"/>
          <w:szCs w:val="24"/>
        </w:rPr>
        <w:t>/</w:t>
      </w:r>
      <w:r w:rsidR="00971B51" w:rsidRPr="00E028E5">
        <w:rPr>
          <w:rFonts w:ascii="Arial" w:hAnsi="Arial" w:cs="Arial"/>
          <w:sz w:val="24"/>
          <w:szCs w:val="24"/>
        </w:rPr>
        <w:t>1</w:t>
      </w:r>
      <w:r w:rsidR="00C41D6D" w:rsidRPr="00E028E5">
        <w:rPr>
          <w:rFonts w:ascii="Arial" w:hAnsi="Arial" w:cs="Arial"/>
          <w:sz w:val="24"/>
          <w:szCs w:val="24"/>
        </w:rPr>
        <w:t xml:space="preserve"> o pow. 0,</w:t>
      </w:r>
      <w:r w:rsidR="00971B51" w:rsidRPr="00E028E5">
        <w:rPr>
          <w:rFonts w:ascii="Arial" w:hAnsi="Arial" w:cs="Arial"/>
          <w:sz w:val="24"/>
          <w:szCs w:val="24"/>
        </w:rPr>
        <w:t>0594</w:t>
      </w:r>
      <w:r w:rsidR="00C41D6D" w:rsidRPr="00E028E5">
        <w:rPr>
          <w:rFonts w:ascii="Arial" w:hAnsi="Arial" w:cs="Arial"/>
          <w:sz w:val="24"/>
          <w:szCs w:val="24"/>
        </w:rPr>
        <w:t xml:space="preserve"> ha </w:t>
      </w:r>
      <w:r w:rsidRPr="00E028E5">
        <w:rPr>
          <w:rFonts w:ascii="Arial" w:hAnsi="Arial" w:cs="Arial"/>
          <w:sz w:val="24"/>
          <w:szCs w:val="24"/>
        </w:rPr>
        <w:t xml:space="preserve">wraz ze sprzedażą </w:t>
      </w:r>
      <w:r w:rsidR="00C41D6D" w:rsidRPr="00E028E5">
        <w:rPr>
          <w:rFonts w:ascii="Arial" w:hAnsi="Arial" w:cs="Arial"/>
          <w:sz w:val="24"/>
          <w:szCs w:val="24"/>
        </w:rPr>
        <w:t>udziału w prawie własności gruntu i częściach wspólnych budynku w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="00C41D6D" w:rsidRPr="00E028E5">
        <w:rPr>
          <w:rFonts w:ascii="Arial" w:hAnsi="Arial" w:cs="Arial"/>
          <w:sz w:val="24"/>
          <w:szCs w:val="24"/>
        </w:rPr>
        <w:t xml:space="preserve">wysokości </w:t>
      </w:r>
      <w:r w:rsidR="00971B51" w:rsidRPr="00E028E5">
        <w:rPr>
          <w:rFonts w:ascii="Arial" w:hAnsi="Arial" w:cs="Arial"/>
          <w:sz w:val="24"/>
          <w:szCs w:val="24"/>
        </w:rPr>
        <w:t>146</w:t>
      </w:r>
      <w:r w:rsidR="00C41D6D" w:rsidRPr="00E028E5">
        <w:rPr>
          <w:rFonts w:ascii="Arial" w:hAnsi="Arial" w:cs="Arial"/>
          <w:sz w:val="24"/>
          <w:szCs w:val="24"/>
        </w:rPr>
        <w:t>/</w:t>
      </w:r>
      <w:r w:rsidR="00971B51" w:rsidRPr="00E028E5">
        <w:rPr>
          <w:rFonts w:ascii="Arial" w:hAnsi="Arial" w:cs="Arial"/>
          <w:sz w:val="24"/>
          <w:szCs w:val="24"/>
        </w:rPr>
        <w:t>1000</w:t>
      </w:r>
      <w:r w:rsidR="00C41D6D" w:rsidRPr="00E028E5">
        <w:rPr>
          <w:rFonts w:ascii="Arial" w:hAnsi="Arial" w:cs="Arial"/>
          <w:sz w:val="24"/>
          <w:szCs w:val="24"/>
        </w:rPr>
        <w:t>,</w:t>
      </w:r>
      <w:r w:rsidRPr="00E028E5">
        <w:rPr>
          <w:rFonts w:ascii="Arial" w:hAnsi="Arial" w:cs="Arial"/>
          <w:sz w:val="24"/>
          <w:szCs w:val="24"/>
        </w:rPr>
        <w:t xml:space="preserve"> dla której Sąd Rejonowy V Wydział Ksiąg Wieczystych w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 xml:space="preserve">Międzyrzeczu prowadzi księgę wieczystą nr </w:t>
      </w:r>
      <w:r w:rsidRPr="00E028E5">
        <w:rPr>
          <w:rFonts w:ascii="Arial" w:hAnsi="Arial" w:cs="Arial"/>
          <w:b/>
          <w:sz w:val="24"/>
          <w:szCs w:val="24"/>
        </w:rPr>
        <w:t>GW1M/</w:t>
      </w:r>
      <w:r w:rsidR="00971B51" w:rsidRPr="00E028E5">
        <w:rPr>
          <w:rFonts w:ascii="Arial" w:hAnsi="Arial" w:cs="Arial"/>
          <w:b/>
          <w:sz w:val="24"/>
          <w:szCs w:val="24"/>
        </w:rPr>
        <w:t>00020099</w:t>
      </w:r>
      <w:r w:rsidRPr="00E028E5">
        <w:rPr>
          <w:rFonts w:ascii="Arial" w:hAnsi="Arial" w:cs="Arial"/>
          <w:b/>
          <w:sz w:val="24"/>
          <w:szCs w:val="24"/>
        </w:rPr>
        <w:t>/</w:t>
      </w:r>
      <w:r w:rsidR="00971B51" w:rsidRPr="00E028E5">
        <w:rPr>
          <w:rFonts w:ascii="Arial" w:hAnsi="Arial" w:cs="Arial"/>
          <w:b/>
          <w:sz w:val="24"/>
          <w:szCs w:val="24"/>
        </w:rPr>
        <w:t>6</w:t>
      </w:r>
      <w:r w:rsidRPr="00E028E5">
        <w:rPr>
          <w:rFonts w:ascii="Arial" w:hAnsi="Arial" w:cs="Arial"/>
          <w:b/>
          <w:sz w:val="24"/>
          <w:szCs w:val="24"/>
        </w:rPr>
        <w:t>.</w:t>
      </w:r>
    </w:p>
    <w:p w:rsidR="00196E04" w:rsidRPr="00E028E5" w:rsidRDefault="00196E04" w:rsidP="00971B5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1313FD" w:rsidRPr="00E028E5">
        <w:rPr>
          <w:rFonts w:ascii="Arial" w:hAnsi="Arial" w:cs="Arial"/>
          <w:b/>
          <w:sz w:val="24"/>
          <w:szCs w:val="24"/>
          <w:u w:val="single"/>
        </w:rPr>
        <w:t xml:space="preserve">budynku i </w:t>
      </w:r>
      <w:r w:rsidRPr="00E028E5">
        <w:rPr>
          <w:rFonts w:ascii="Arial" w:hAnsi="Arial" w:cs="Arial"/>
          <w:b/>
          <w:sz w:val="24"/>
          <w:szCs w:val="24"/>
          <w:u w:val="single"/>
        </w:rPr>
        <w:t>lokalu:</w:t>
      </w:r>
    </w:p>
    <w:p w:rsidR="009D05FE" w:rsidRPr="00E028E5" w:rsidRDefault="00D7630E" w:rsidP="00971B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b/>
          <w:sz w:val="24"/>
          <w:szCs w:val="24"/>
        </w:rPr>
        <w:t xml:space="preserve">Lokal </w:t>
      </w:r>
      <w:r w:rsidR="00971B51" w:rsidRPr="00E028E5">
        <w:rPr>
          <w:rFonts w:ascii="Arial" w:hAnsi="Arial" w:cs="Arial"/>
          <w:b/>
          <w:sz w:val="24"/>
          <w:szCs w:val="24"/>
        </w:rPr>
        <w:t>mieszkalny</w:t>
      </w:r>
      <w:r w:rsidR="00C41D6D" w:rsidRPr="00E028E5">
        <w:rPr>
          <w:rFonts w:ascii="Arial" w:hAnsi="Arial" w:cs="Arial"/>
          <w:b/>
          <w:sz w:val="24"/>
          <w:szCs w:val="24"/>
        </w:rPr>
        <w:t xml:space="preserve"> nr 2</w:t>
      </w:r>
      <w:r w:rsidR="00CB7093" w:rsidRPr="00E028E5">
        <w:rPr>
          <w:rFonts w:ascii="Arial" w:hAnsi="Arial" w:cs="Arial"/>
          <w:b/>
          <w:sz w:val="24"/>
          <w:szCs w:val="24"/>
        </w:rPr>
        <w:t xml:space="preserve"> o pow. </w:t>
      </w:r>
      <w:r w:rsidR="00971B51" w:rsidRPr="00E028E5">
        <w:rPr>
          <w:rFonts w:ascii="Arial" w:hAnsi="Arial" w:cs="Arial"/>
          <w:b/>
          <w:sz w:val="24"/>
          <w:szCs w:val="24"/>
        </w:rPr>
        <w:t>36</w:t>
      </w:r>
      <w:r w:rsidR="00CB7093" w:rsidRPr="00E028E5">
        <w:rPr>
          <w:rFonts w:ascii="Arial" w:hAnsi="Arial" w:cs="Arial"/>
          <w:b/>
          <w:sz w:val="24"/>
          <w:szCs w:val="24"/>
        </w:rPr>
        <w:t>,</w:t>
      </w:r>
      <w:r w:rsidR="00971B51" w:rsidRPr="00E028E5">
        <w:rPr>
          <w:rFonts w:ascii="Arial" w:hAnsi="Arial" w:cs="Arial"/>
          <w:b/>
          <w:sz w:val="24"/>
          <w:szCs w:val="24"/>
        </w:rPr>
        <w:t>09</w:t>
      </w:r>
      <w:r w:rsidR="00CB7093" w:rsidRPr="00E028E5">
        <w:rPr>
          <w:rFonts w:ascii="Arial" w:hAnsi="Arial" w:cs="Arial"/>
          <w:b/>
          <w:sz w:val="24"/>
          <w:szCs w:val="24"/>
        </w:rPr>
        <w:t xml:space="preserve"> m²</w:t>
      </w:r>
      <w:r w:rsidR="005D5447" w:rsidRPr="00E028E5">
        <w:rPr>
          <w:rFonts w:ascii="Arial" w:hAnsi="Arial" w:cs="Arial"/>
          <w:sz w:val="24"/>
          <w:szCs w:val="24"/>
        </w:rPr>
        <w:t>, składający się z: </w:t>
      </w:r>
      <w:r w:rsidR="00971B51" w:rsidRPr="00E028E5">
        <w:rPr>
          <w:rFonts w:ascii="Arial" w:hAnsi="Arial" w:cs="Arial"/>
          <w:sz w:val="24"/>
          <w:szCs w:val="24"/>
        </w:rPr>
        <w:t>dwóch</w:t>
      </w:r>
      <w:r w:rsidR="00CB7093" w:rsidRPr="00E028E5">
        <w:rPr>
          <w:rFonts w:ascii="Arial" w:hAnsi="Arial" w:cs="Arial"/>
          <w:sz w:val="24"/>
          <w:szCs w:val="24"/>
        </w:rPr>
        <w:t xml:space="preserve"> (</w:t>
      </w:r>
      <w:r w:rsidR="00971B51" w:rsidRPr="00E028E5">
        <w:rPr>
          <w:rFonts w:ascii="Arial" w:hAnsi="Arial" w:cs="Arial"/>
          <w:sz w:val="24"/>
          <w:szCs w:val="24"/>
        </w:rPr>
        <w:t>2</w:t>
      </w:r>
      <w:r w:rsidR="00CB7093" w:rsidRPr="00E028E5">
        <w:rPr>
          <w:rFonts w:ascii="Arial" w:hAnsi="Arial" w:cs="Arial"/>
          <w:sz w:val="24"/>
          <w:szCs w:val="24"/>
        </w:rPr>
        <w:t xml:space="preserve">) </w:t>
      </w:r>
      <w:r w:rsidR="00971B51" w:rsidRPr="00E028E5">
        <w:rPr>
          <w:rFonts w:ascii="Arial" w:hAnsi="Arial" w:cs="Arial"/>
          <w:sz w:val="24"/>
          <w:szCs w:val="24"/>
        </w:rPr>
        <w:t>pokoi, kuchni, łazienki i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="00971B51" w:rsidRPr="00E028E5">
        <w:rPr>
          <w:rFonts w:ascii="Arial" w:hAnsi="Arial" w:cs="Arial"/>
          <w:sz w:val="24"/>
          <w:szCs w:val="24"/>
        </w:rPr>
        <w:t>przedpokoju</w:t>
      </w:r>
      <w:r w:rsidR="00CB7093" w:rsidRPr="00E028E5">
        <w:rPr>
          <w:rFonts w:ascii="Arial" w:hAnsi="Arial" w:cs="Arial"/>
          <w:sz w:val="24"/>
          <w:szCs w:val="24"/>
        </w:rPr>
        <w:t xml:space="preserve">, </w:t>
      </w:r>
      <w:r w:rsidR="00971B51" w:rsidRPr="00E028E5">
        <w:rPr>
          <w:rFonts w:ascii="Arial" w:hAnsi="Arial" w:cs="Arial"/>
          <w:sz w:val="24"/>
          <w:szCs w:val="24"/>
        </w:rPr>
        <w:t xml:space="preserve">położony </w:t>
      </w:r>
      <w:r w:rsidR="00CB7093" w:rsidRPr="00E028E5">
        <w:rPr>
          <w:rFonts w:ascii="Arial" w:hAnsi="Arial" w:cs="Arial"/>
          <w:sz w:val="24"/>
          <w:szCs w:val="24"/>
        </w:rPr>
        <w:t xml:space="preserve">na </w:t>
      </w:r>
      <w:r w:rsidR="00006180" w:rsidRPr="00E028E5">
        <w:rPr>
          <w:rFonts w:ascii="Arial" w:hAnsi="Arial" w:cs="Arial"/>
          <w:sz w:val="24"/>
          <w:szCs w:val="24"/>
        </w:rPr>
        <w:t>parterze</w:t>
      </w:r>
      <w:r w:rsidR="00CB7093" w:rsidRPr="00E028E5">
        <w:rPr>
          <w:rFonts w:ascii="Arial" w:hAnsi="Arial" w:cs="Arial"/>
          <w:sz w:val="24"/>
          <w:szCs w:val="24"/>
        </w:rPr>
        <w:t xml:space="preserve"> budynku</w:t>
      </w:r>
      <w:r w:rsidR="00FB3AAB" w:rsidRPr="00E028E5">
        <w:rPr>
          <w:rFonts w:ascii="Arial" w:hAnsi="Arial" w:cs="Arial"/>
          <w:sz w:val="24"/>
          <w:szCs w:val="24"/>
        </w:rPr>
        <w:t xml:space="preserve"> </w:t>
      </w:r>
      <w:r w:rsidR="00971B51" w:rsidRPr="00E028E5">
        <w:rPr>
          <w:rFonts w:ascii="Arial" w:hAnsi="Arial" w:cs="Arial"/>
          <w:sz w:val="24"/>
          <w:szCs w:val="24"/>
        </w:rPr>
        <w:t xml:space="preserve">mieszkalnego </w:t>
      </w:r>
      <w:r w:rsidR="00FB3AAB" w:rsidRPr="00E028E5">
        <w:rPr>
          <w:rFonts w:ascii="Arial" w:hAnsi="Arial" w:cs="Arial"/>
          <w:sz w:val="24"/>
          <w:szCs w:val="24"/>
        </w:rPr>
        <w:t xml:space="preserve">przy ul. </w:t>
      </w:r>
      <w:r w:rsidR="00971B51" w:rsidRPr="00E028E5">
        <w:rPr>
          <w:rFonts w:ascii="Arial" w:hAnsi="Arial" w:cs="Arial"/>
          <w:sz w:val="24"/>
          <w:szCs w:val="24"/>
        </w:rPr>
        <w:t>Winnica</w:t>
      </w:r>
      <w:r w:rsidR="00006180" w:rsidRPr="00E028E5">
        <w:rPr>
          <w:rFonts w:ascii="Arial" w:hAnsi="Arial" w:cs="Arial"/>
          <w:sz w:val="24"/>
          <w:szCs w:val="24"/>
        </w:rPr>
        <w:t xml:space="preserve"> </w:t>
      </w:r>
      <w:r w:rsidR="00971B51" w:rsidRPr="00E028E5">
        <w:rPr>
          <w:rFonts w:ascii="Arial" w:hAnsi="Arial" w:cs="Arial"/>
          <w:sz w:val="24"/>
          <w:szCs w:val="24"/>
        </w:rPr>
        <w:t>30</w:t>
      </w:r>
      <w:r w:rsidR="00CB7093" w:rsidRPr="00E028E5">
        <w:rPr>
          <w:rFonts w:ascii="Arial" w:hAnsi="Arial" w:cs="Arial"/>
          <w:sz w:val="24"/>
          <w:szCs w:val="24"/>
        </w:rPr>
        <w:t xml:space="preserve">. </w:t>
      </w:r>
      <w:r w:rsidR="00971B51" w:rsidRPr="00E028E5">
        <w:rPr>
          <w:rFonts w:ascii="Arial" w:hAnsi="Arial" w:cs="Arial"/>
          <w:sz w:val="24"/>
          <w:szCs w:val="24"/>
        </w:rPr>
        <w:t>Do lokalu przynależy piwnica o pow. 4,10 m</w:t>
      </w:r>
      <w:r w:rsidR="00196E04" w:rsidRPr="00E028E5">
        <w:rPr>
          <w:rFonts w:ascii="Arial" w:hAnsi="Arial" w:cs="Arial"/>
          <w:sz w:val="24"/>
          <w:szCs w:val="24"/>
        </w:rPr>
        <w:t>². Stan techniczny i standard wykończenia określa się jako niekorzystny. Lokal wyposażony jest w następujące instalacje: wodną, kanalizacyjną, energii elektrycznej i centralnego ogrzewania. Z lokalem po wyodrębnieniu związany będzie udział w nieruchomości wspólnej stanowiący grunt oraz części budynku i urządzenia, które nie służą wyłącznie do użytku właścicieli wynoszący 146/1000.</w:t>
      </w:r>
    </w:p>
    <w:p w:rsidR="00006180" w:rsidRPr="00E028E5" w:rsidRDefault="00006180" w:rsidP="00D7630E">
      <w:pPr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 xml:space="preserve">Budynek mieszkalny </w:t>
      </w:r>
      <w:r w:rsidR="00196E04" w:rsidRPr="00E028E5">
        <w:rPr>
          <w:rFonts w:ascii="Arial" w:hAnsi="Arial" w:cs="Arial"/>
          <w:sz w:val="24"/>
          <w:szCs w:val="24"/>
        </w:rPr>
        <w:t>posiadający 2 kondygnacje nadziemne, użytkowe poddasze oraz 1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="00196E04" w:rsidRPr="00E028E5">
        <w:rPr>
          <w:rFonts w:ascii="Arial" w:hAnsi="Arial" w:cs="Arial"/>
          <w:sz w:val="24"/>
          <w:szCs w:val="24"/>
        </w:rPr>
        <w:t>kondygnację podziemną w zabudowie wolnostojącej, wyposażony w sieć ener</w:t>
      </w:r>
      <w:r w:rsidR="008678BB" w:rsidRPr="00E028E5">
        <w:rPr>
          <w:rFonts w:ascii="Arial" w:hAnsi="Arial" w:cs="Arial"/>
          <w:sz w:val="24"/>
          <w:szCs w:val="24"/>
        </w:rPr>
        <w:t xml:space="preserve">gii elektrycznej, wodną, kanalizacji sanitarnej i telekomunikacyjną. Budynek całkowicie podpiwniczony, oddany do użytkowania w 1962 r. Wybudowany w technologii tradycyjnej murowanej z cegły, stropy żelbetowe, ściany zewnętrzne nieocieplone, dach </w:t>
      </w:r>
      <w:r w:rsidR="002F207E" w:rsidRPr="00E028E5">
        <w:rPr>
          <w:rFonts w:ascii="Arial" w:hAnsi="Arial" w:cs="Arial"/>
          <w:sz w:val="24"/>
          <w:szCs w:val="24"/>
        </w:rPr>
        <w:t xml:space="preserve">dwuspadowy pokryty dachówką </w:t>
      </w:r>
      <w:r w:rsidR="00890B18" w:rsidRPr="00E028E5">
        <w:rPr>
          <w:rFonts w:ascii="Arial" w:hAnsi="Arial" w:cs="Arial"/>
          <w:sz w:val="24"/>
          <w:szCs w:val="24"/>
        </w:rPr>
        <w:t xml:space="preserve">ceramiczną. </w:t>
      </w:r>
    </w:p>
    <w:p w:rsidR="0076558C" w:rsidRPr="00E028E5" w:rsidRDefault="00EC0E62" w:rsidP="004D61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90B18" w:rsidRPr="00E028E5">
        <w:rPr>
          <w:rFonts w:ascii="Arial" w:hAnsi="Arial" w:cs="Arial"/>
          <w:b/>
          <w:sz w:val="24"/>
          <w:szCs w:val="24"/>
          <w:u w:val="single"/>
        </w:rPr>
        <w:t>działki:</w:t>
      </w:r>
    </w:p>
    <w:p w:rsidR="00D7630E" w:rsidRPr="00E028E5" w:rsidRDefault="00890B18" w:rsidP="00890B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Działka gruntu pod budynkiem oznaczona ewidencyjnie nr 257/1 o pow. 594 m² posiada kształt nieregularny, jest zabudowana budynkiem mieszkalnym wielorodzinnym. Działka posiada bezpośredni dostęp do drogi publicznej – ul. Winnica o nawierzchni asfaltowej. Niezabudowany obszar działki stanowi zaplecze budynku mieszkalnego, przed frontową stroną budynku znajduje się pas zieleni zorganizowanej, natomiast od północy znajduje się budynek gospodarczy</w:t>
      </w:r>
      <w:r w:rsidR="005628D2" w:rsidRPr="00E028E5">
        <w:rPr>
          <w:rFonts w:ascii="Arial" w:hAnsi="Arial" w:cs="Arial"/>
          <w:sz w:val="24"/>
          <w:szCs w:val="24"/>
        </w:rPr>
        <w:t>. Najbliższe sąsiedztwo działki stanowi zabudowa mieszkalna wielorodzinna i jednorodzinna.</w:t>
      </w:r>
    </w:p>
    <w:p w:rsidR="005628D2" w:rsidRPr="00E028E5" w:rsidRDefault="005628D2" w:rsidP="00890B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8EB" w:rsidRPr="00E028E5" w:rsidRDefault="002568EB" w:rsidP="004D61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 xml:space="preserve">Przeznaczenie w </w:t>
      </w:r>
      <w:proofErr w:type="spellStart"/>
      <w:r w:rsidRPr="00E028E5">
        <w:rPr>
          <w:rFonts w:ascii="Arial" w:hAnsi="Arial" w:cs="Arial"/>
          <w:b/>
          <w:sz w:val="24"/>
          <w:szCs w:val="24"/>
          <w:u w:val="single"/>
        </w:rPr>
        <w:t>mpzp</w:t>
      </w:r>
      <w:proofErr w:type="spellEnd"/>
      <w:r w:rsidRPr="00E028E5">
        <w:rPr>
          <w:rFonts w:ascii="Arial" w:hAnsi="Arial" w:cs="Arial"/>
          <w:b/>
          <w:sz w:val="24"/>
          <w:szCs w:val="24"/>
          <w:u w:val="single"/>
        </w:rPr>
        <w:t>:</w:t>
      </w:r>
    </w:p>
    <w:p w:rsidR="00B2765A" w:rsidRPr="00E028E5" w:rsidRDefault="005628D2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Teren działki oznaczonej ewidencyjnie nr 257/1 położonej w obrębie 0002 Międzyrzecz nie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 xml:space="preserve">został objęty miejscowym planem zagospodarowania przestrzennego gminy. W Studium Uwarunkowań i Kierunków Zagospodarowania Przestrzennego Miasta i Gminy Międzyrzecz zatwierdzonym uchwała Nr </w:t>
      </w:r>
      <w:r w:rsidRPr="00E028E5">
        <w:rPr>
          <w:rFonts w:ascii="Arial" w:hAnsi="Arial" w:cs="Arial"/>
          <w:sz w:val="24"/>
          <w:szCs w:val="24"/>
        </w:rPr>
        <w:lastRenderedPageBreak/>
        <w:t>XXVI/231/2020 z dnia 27 października 2020 r. przedmiotowa działka znajduje się w strefie zabudowy jednorodzinnej. Działka położona jest w granicach otoczenia zabytku jakim jest zespół urbanistyczno- krajobrazowy m. Międzyrzecz wpisany do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>rejestru zabytków pod nr KOK-I-72 orzeczeniem Wojewódzkiego Konserwatora Zabytków w Zielonej Górze z dnia 31.01.1975 r. oraz KOK-I-6/76 decyzją Wojewódzkiego Konserwatora Zabytków w Gorzowie Wlkp. Z dnia 21.10.1976 r. Dla działki nie został sporządzony gminny program rewitalizacji jak również nie została ustanowiona specjalna strefa rewitalizacji. Działka nie podlega ochronie prawnej przewidzianej ustawą z dnia 16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 xml:space="preserve">kwietnia </w:t>
      </w:r>
      <w:r w:rsidR="00ED534A" w:rsidRPr="00E028E5">
        <w:rPr>
          <w:rFonts w:ascii="Arial" w:hAnsi="Arial" w:cs="Arial"/>
          <w:sz w:val="24"/>
          <w:szCs w:val="24"/>
        </w:rPr>
        <w:t>2004</w:t>
      </w:r>
      <w:r w:rsidRPr="00E028E5">
        <w:rPr>
          <w:rFonts w:ascii="Arial" w:hAnsi="Arial" w:cs="Arial"/>
          <w:sz w:val="24"/>
          <w:szCs w:val="24"/>
        </w:rPr>
        <w:t xml:space="preserve"> r. o ochronie przyrody. </w:t>
      </w:r>
    </w:p>
    <w:p w:rsidR="00677B6B" w:rsidRPr="00E028E5" w:rsidRDefault="00677B6B" w:rsidP="004D61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797" w:rsidRPr="00E028E5" w:rsidRDefault="00444797" w:rsidP="004D61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>Sposób zagospodarowania:</w:t>
      </w:r>
    </w:p>
    <w:p w:rsidR="00677B6B" w:rsidRPr="00E028E5" w:rsidRDefault="00444797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Utrzymanie istniejącego zagospodarowania</w:t>
      </w:r>
      <w:r w:rsidR="005628D2" w:rsidRPr="00E028E5">
        <w:rPr>
          <w:rFonts w:ascii="Arial" w:hAnsi="Arial" w:cs="Arial"/>
          <w:sz w:val="24"/>
          <w:szCs w:val="24"/>
        </w:rPr>
        <w:t xml:space="preserve"> jako lokal mieszkalny.</w:t>
      </w:r>
    </w:p>
    <w:p w:rsidR="00D7630E" w:rsidRPr="00E028E5" w:rsidRDefault="00D7630E" w:rsidP="004D6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4797" w:rsidRPr="00E028E5" w:rsidRDefault="00125BBA" w:rsidP="004D61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>Obciążenia nieruchomości:</w:t>
      </w:r>
    </w:p>
    <w:p w:rsidR="00125BBA" w:rsidRPr="00E028E5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E028E5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 xml:space="preserve">Gmina Międzyrzecz nie posiada </w:t>
      </w:r>
      <w:r w:rsidR="005628D2" w:rsidRPr="00E028E5">
        <w:rPr>
          <w:rFonts w:ascii="Arial" w:hAnsi="Arial" w:cs="Arial"/>
          <w:sz w:val="24"/>
          <w:szCs w:val="24"/>
        </w:rPr>
        <w:t xml:space="preserve">dla budynku mieszkalnego </w:t>
      </w:r>
      <w:r w:rsidRPr="00E028E5">
        <w:rPr>
          <w:rFonts w:ascii="Arial" w:hAnsi="Arial" w:cs="Arial"/>
          <w:sz w:val="24"/>
          <w:szCs w:val="24"/>
        </w:rPr>
        <w:t>świadectwa charakterystyki energetycznej, o którym mowa w art. 3 ustawy z dnia 29 sierpnia 2014 r. o charakterystyce energetycznej budynków (</w:t>
      </w:r>
      <w:proofErr w:type="spellStart"/>
      <w:r w:rsidRPr="00E028E5">
        <w:rPr>
          <w:rFonts w:ascii="Arial" w:hAnsi="Arial" w:cs="Arial"/>
          <w:sz w:val="24"/>
          <w:szCs w:val="24"/>
        </w:rPr>
        <w:t>t.j</w:t>
      </w:r>
      <w:proofErr w:type="spellEnd"/>
      <w:r w:rsidRPr="00E028E5">
        <w:rPr>
          <w:rFonts w:ascii="Arial" w:hAnsi="Arial" w:cs="Arial"/>
          <w:sz w:val="24"/>
          <w:szCs w:val="24"/>
        </w:rPr>
        <w:t xml:space="preserve">. Dz. U. z </w:t>
      </w:r>
      <w:r w:rsidR="00184F7B" w:rsidRPr="00E028E5">
        <w:rPr>
          <w:rFonts w:ascii="Arial" w:hAnsi="Arial" w:cs="Arial"/>
          <w:sz w:val="24"/>
          <w:szCs w:val="24"/>
        </w:rPr>
        <w:t>2020</w:t>
      </w:r>
      <w:r w:rsidRPr="00E028E5">
        <w:rPr>
          <w:rFonts w:ascii="Arial" w:hAnsi="Arial" w:cs="Arial"/>
          <w:sz w:val="24"/>
          <w:szCs w:val="24"/>
        </w:rPr>
        <w:t xml:space="preserve"> r., poz. </w:t>
      </w:r>
      <w:r w:rsidR="00184F7B" w:rsidRPr="00E028E5">
        <w:rPr>
          <w:rFonts w:ascii="Arial" w:hAnsi="Arial" w:cs="Arial"/>
          <w:sz w:val="24"/>
          <w:szCs w:val="24"/>
        </w:rPr>
        <w:t>213</w:t>
      </w:r>
      <w:r w:rsidRPr="00E028E5">
        <w:rPr>
          <w:rFonts w:ascii="Arial" w:hAnsi="Arial" w:cs="Arial"/>
          <w:sz w:val="24"/>
          <w:szCs w:val="24"/>
        </w:rPr>
        <w:t>).</w:t>
      </w:r>
    </w:p>
    <w:p w:rsidR="00125BBA" w:rsidRPr="00E028E5" w:rsidRDefault="00125BBA" w:rsidP="004D616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Zgodnie z art. 3 ust.1 i 2 ustawy z dnia 24 czerwca 1994 r. o własności lokali</w:t>
      </w:r>
      <w:r w:rsidR="00A908DA" w:rsidRPr="00E028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08DA" w:rsidRPr="00E028E5">
        <w:rPr>
          <w:rFonts w:ascii="Arial" w:hAnsi="Arial" w:cs="Arial"/>
          <w:sz w:val="24"/>
          <w:szCs w:val="24"/>
        </w:rPr>
        <w:t>t.j</w:t>
      </w:r>
      <w:proofErr w:type="spellEnd"/>
      <w:r w:rsidR="00A908DA" w:rsidRPr="00E028E5">
        <w:rPr>
          <w:rFonts w:ascii="Arial" w:hAnsi="Arial" w:cs="Arial"/>
          <w:sz w:val="24"/>
          <w:szCs w:val="24"/>
        </w:rPr>
        <w:t>. Dz.U.</w:t>
      </w:r>
      <w:r w:rsidR="0078121A" w:rsidRPr="00E028E5">
        <w:rPr>
          <w:rFonts w:ascii="Arial" w:hAnsi="Arial" w:cs="Arial"/>
          <w:sz w:val="24"/>
          <w:szCs w:val="24"/>
        </w:rPr>
        <w:t xml:space="preserve"> </w:t>
      </w:r>
      <w:r w:rsidR="00A908DA" w:rsidRPr="00E028E5">
        <w:rPr>
          <w:rFonts w:ascii="Arial" w:hAnsi="Arial" w:cs="Arial"/>
          <w:sz w:val="24"/>
          <w:szCs w:val="24"/>
        </w:rPr>
        <w:t>z</w:t>
      </w:r>
      <w:r w:rsidR="0056562A" w:rsidRPr="00E028E5">
        <w:rPr>
          <w:rFonts w:ascii="Arial" w:hAnsi="Arial" w:cs="Arial"/>
          <w:sz w:val="24"/>
          <w:szCs w:val="24"/>
        </w:rPr>
        <w:t> </w:t>
      </w:r>
      <w:r w:rsidR="00A224E4" w:rsidRPr="00E028E5">
        <w:rPr>
          <w:rFonts w:ascii="Arial" w:hAnsi="Arial" w:cs="Arial"/>
          <w:sz w:val="24"/>
          <w:szCs w:val="24"/>
        </w:rPr>
        <w:t>2019</w:t>
      </w:r>
      <w:r w:rsidR="00A908DA" w:rsidRPr="00E028E5">
        <w:rPr>
          <w:rFonts w:ascii="Arial" w:hAnsi="Arial" w:cs="Arial"/>
          <w:sz w:val="24"/>
          <w:szCs w:val="24"/>
        </w:rPr>
        <w:t xml:space="preserve"> r., poz. </w:t>
      </w:r>
      <w:r w:rsidR="00A224E4" w:rsidRPr="00E028E5">
        <w:rPr>
          <w:rFonts w:ascii="Arial" w:hAnsi="Arial" w:cs="Arial"/>
          <w:sz w:val="24"/>
          <w:szCs w:val="24"/>
        </w:rPr>
        <w:t>737</w:t>
      </w:r>
      <w:r w:rsidR="00A908DA" w:rsidRPr="00E028E5">
        <w:rPr>
          <w:rFonts w:ascii="Arial" w:hAnsi="Arial" w:cs="Arial"/>
          <w:sz w:val="24"/>
          <w:szCs w:val="24"/>
        </w:rPr>
        <w:t xml:space="preserve"> </w:t>
      </w:r>
      <w:r w:rsidR="00EE2FAB" w:rsidRPr="00E028E5">
        <w:rPr>
          <w:rFonts w:ascii="Arial" w:hAnsi="Arial" w:cs="Arial"/>
          <w:sz w:val="24"/>
          <w:szCs w:val="24"/>
        </w:rPr>
        <w:t>ze</w:t>
      </w:r>
      <w:r w:rsidR="00A908DA" w:rsidRPr="00E028E5">
        <w:rPr>
          <w:rFonts w:ascii="Arial" w:hAnsi="Arial" w:cs="Arial"/>
          <w:sz w:val="24"/>
          <w:szCs w:val="24"/>
        </w:rPr>
        <w:t xml:space="preserve"> zm.): </w:t>
      </w:r>
      <w:r w:rsidR="00A908DA" w:rsidRPr="00E028E5">
        <w:rPr>
          <w:rFonts w:ascii="Arial" w:hAnsi="Arial" w:cs="Arial"/>
          <w:i/>
          <w:sz w:val="24"/>
          <w:szCs w:val="24"/>
        </w:rPr>
        <w:t>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971B51" w:rsidRPr="00E028E5" w:rsidRDefault="00971B51" w:rsidP="00971B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Lokal wymaga remontu. Nabywca wykona go we własnym zakresie i na własny koszt.</w:t>
      </w:r>
    </w:p>
    <w:p w:rsidR="005628D2" w:rsidRPr="00E028E5" w:rsidRDefault="00B21864" w:rsidP="00971B5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>Termin przetargu oraz cena wywoławcza:</w:t>
      </w:r>
    </w:p>
    <w:p w:rsidR="00B21864" w:rsidRPr="00E028E5" w:rsidRDefault="00B21864" w:rsidP="00B21864">
      <w:pPr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Przetarg na lokal mieszkalny nr 2 położony w budynku nr 30 przy ul. Winnica odbędzie się w</w:t>
      </w:r>
      <w:r w:rsidR="00ED534A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 xml:space="preserve">dniu </w:t>
      </w:r>
      <w:r w:rsidRPr="00E028E5">
        <w:rPr>
          <w:rFonts w:ascii="Arial" w:hAnsi="Arial" w:cs="Arial"/>
          <w:b/>
          <w:sz w:val="24"/>
          <w:szCs w:val="24"/>
          <w:u w:val="single"/>
        </w:rPr>
        <w:t>09 listopada 2021 r. o godz. 10:45</w:t>
      </w:r>
      <w:r w:rsidRPr="00E028E5">
        <w:rPr>
          <w:rFonts w:ascii="Arial" w:hAnsi="Arial" w:cs="Arial"/>
          <w:sz w:val="24"/>
          <w:szCs w:val="24"/>
        </w:rPr>
        <w:t xml:space="preserve"> w Sali Ślubów Urzędu Miejskiego w Międzyrzeczu, ul. Rynek 1 (budynek Ratusza, parter).</w:t>
      </w:r>
    </w:p>
    <w:p w:rsidR="00890B18" w:rsidRPr="00E028E5" w:rsidRDefault="00890B18" w:rsidP="00890B18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 xml:space="preserve">Cena wywoławcza………………………………………………. </w:t>
      </w:r>
      <w:r w:rsidR="00393616" w:rsidRPr="00E028E5">
        <w:rPr>
          <w:rFonts w:ascii="Arial" w:hAnsi="Arial" w:cs="Arial"/>
          <w:b/>
          <w:sz w:val="24"/>
          <w:szCs w:val="24"/>
        </w:rPr>
        <w:t>140</w:t>
      </w:r>
      <w:r w:rsidRPr="00E028E5">
        <w:rPr>
          <w:rFonts w:ascii="Arial" w:hAnsi="Arial" w:cs="Arial"/>
          <w:b/>
          <w:sz w:val="24"/>
          <w:szCs w:val="24"/>
        </w:rPr>
        <w:t>.000,00 zł</w:t>
      </w:r>
    </w:p>
    <w:p w:rsidR="00B21864" w:rsidRPr="00E028E5" w:rsidRDefault="00890B18" w:rsidP="0039361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w tym:</w:t>
      </w:r>
      <w:r w:rsidR="00393616" w:rsidRPr="00E028E5">
        <w:rPr>
          <w:rFonts w:ascii="Arial" w:hAnsi="Arial" w:cs="Arial"/>
          <w:sz w:val="24"/>
          <w:szCs w:val="24"/>
        </w:rPr>
        <w:t xml:space="preserve"> </w:t>
      </w:r>
    </w:p>
    <w:p w:rsidR="00890B18" w:rsidRPr="00E028E5" w:rsidRDefault="00B21864" w:rsidP="0039361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wartość udziałów w gruncie</w:t>
      </w:r>
      <w:r w:rsidR="00ED534A" w:rsidRPr="00E028E5">
        <w:rPr>
          <w:rFonts w:ascii="Arial" w:hAnsi="Arial" w:cs="Arial"/>
          <w:sz w:val="24"/>
          <w:szCs w:val="24"/>
        </w:rPr>
        <w:t xml:space="preserve"> wynoszących</w:t>
      </w:r>
      <w:r w:rsidR="00890B18" w:rsidRPr="00E028E5">
        <w:rPr>
          <w:rFonts w:ascii="Arial" w:hAnsi="Arial" w:cs="Arial"/>
          <w:sz w:val="24"/>
          <w:szCs w:val="24"/>
        </w:rPr>
        <w:t xml:space="preserve"> 21/100……………</w:t>
      </w:r>
      <w:r w:rsidR="00ED534A" w:rsidRPr="00E028E5">
        <w:rPr>
          <w:rFonts w:ascii="Arial" w:hAnsi="Arial" w:cs="Arial"/>
          <w:sz w:val="24"/>
          <w:szCs w:val="24"/>
        </w:rPr>
        <w:t>…</w:t>
      </w:r>
      <w:r w:rsidR="00890B18" w:rsidRPr="00E028E5">
        <w:rPr>
          <w:rFonts w:ascii="Arial" w:hAnsi="Arial" w:cs="Arial"/>
          <w:sz w:val="24"/>
          <w:szCs w:val="24"/>
        </w:rPr>
        <w:t>..</w:t>
      </w:r>
      <w:r w:rsidR="00393616" w:rsidRPr="00E028E5">
        <w:rPr>
          <w:rFonts w:ascii="Arial" w:hAnsi="Arial" w:cs="Arial"/>
          <w:sz w:val="24"/>
          <w:szCs w:val="24"/>
        </w:rPr>
        <w:t>10</w:t>
      </w:r>
      <w:r w:rsidR="00890B18" w:rsidRPr="00E028E5">
        <w:rPr>
          <w:rFonts w:ascii="Arial" w:hAnsi="Arial" w:cs="Arial"/>
          <w:sz w:val="24"/>
          <w:szCs w:val="24"/>
        </w:rPr>
        <w:t>.</w:t>
      </w:r>
      <w:r w:rsidR="00393616" w:rsidRPr="00E028E5">
        <w:rPr>
          <w:rFonts w:ascii="Arial" w:hAnsi="Arial" w:cs="Arial"/>
          <w:sz w:val="24"/>
          <w:szCs w:val="24"/>
        </w:rPr>
        <w:t>543</w:t>
      </w:r>
      <w:r w:rsidR="00890B18" w:rsidRPr="00E028E5">
        <w:rPr>
          <w:rFonts w:ascii="Arial" w:hAnsi="Arial" w:cs="Arial"/>
          <w:sz w:val="24"/>
          <w:szCs w:val="24"/>
        </w:rPr>
        <w:t>,</w:t>
      </w:r>
      <w:r w:rsidR="00393616" w:rsidRPr="00E028E5">
        <w:rPr>
          <w:rFonts w:ascii="Arial" w:hAnsi="Arial" w:cs="Arial"/>
          <w:sz w:val="24"/>
          <w:szCs w:val="24"/>
        </w:rPr>
        <w:t>93</w:t>
      </w:r>
      <w:r w:rsidR="00890B18" w:rsidRPr="00E028E5">
        <w:rPr>
          <w:rFonts w:ascii="Arial" w:hAnsi="Arial" w:cs="Arial"/>
          <w:sz w:val="24"/>
          <w:szCs w:val="24"/>
        </w:rPr>
        <w:t xml:space="preserve"> zł</w:t>
      </w:r>
    </w:p>
    <w:p w:rsidR="00393616" w:rsidRPr="00E028E5" w:rsidRDefault="00ED534A" w:rsidP="0039361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wartość lokalu…………………………………………………….129.456,07 zł</w:t>
      </w:r>
    </w:p>
    <w:p w:rsidR="00ED534A" w:rsidRPr="00E028E5" w:rsidRDefault="00ED534A" w:rsidP="00ED534A">
      <w:pPr>
        <w:spacing w:after="0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Wysokość ceny wzrośnie proporcjonalnie do wylicytowanej kwoty.</w:t>
      </w:r>
    </w:p>
    <w:p w:rsidR="00ED534A" w:rsidRPr="00E028E5" w:rsidRDefault="00ED534A" w:rsidP="00131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28E5">
        <w:rPr>
          <w:rFonts w:ascii="Arial" w:hAnsi="Arial" w:cs="Arial"/>
          <w:sz w:val="24"/>
          <w:szCs w:val="24"/>
        </w:rPr>
        <w:t>Lokal objęty sprzedażą spełnia warunki określone w art. 43 ust. 1 pkt 10a ustawy z dnia 11</w:t>
      </w:r>
      <w:r w:rsidR="001313FD" w:rsidRPr="00E028E5">
        <w:rPr>
          <w:rFonts w:ascii="Arial" w:hAnsi="Arial" w:cs="Arial"/>
          <w:sz w:val="24"/>
          <w:szCs w:val="24"/>
        </w:rPr>
        <w:t> </w:t>
      </w:r>
      <w:r w:rsidRPr="00E028E5">
        <w:rPr>
          <w:rFonts w:ascii="Arial" w:hAnsi="Arial" w:cs="Arial"/>
          <w:sz w:val="24"/>
          <w:szCs w:val="24"/>
        </w:rPr>
        <w:t>marca 2004 r. o podatku od towarów i usług w związku z powyższym sprzedaż ww. lokalu zwolniona jest od podatku VAT.</w:t>
      </w:r>
    </w:p>
    <w:p w:rsidR="00ED534A" w:rsidRPr="00E028E5" w:rsidRDefault="00ED534A" w:rsidP="00ED53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8E5">
        <w:rPr>
          <w:rFonts w:ascii="Arial" w:hAnsi="Arial" w:cs="Arial"/>
          <w:b/>
          <w:sz w:val="24"/>
          <w:szCs w:val="24"/>
          <w:u w:val="single"/>
        </w:rPr>
        <w:t>Wadium:</w:t>
      </w:r>
    </w:p>
    <w:p w:rsidR="00890B18" w:rsidRPr="00E028E5" w:rsidRDefault="00890B18" w:rsidP="00ED534A">
      <w:pPr>
        <w:jc w:val="both"/>
        <w:rPr>
          <w:rFonts w:ascii="Arial" w:hAnsi="Arial" w:cs="Arial"/>
          <w:b/>
          <w:sz w:val="24"/>
          <w:szCs w:val="24"/>
        </w:rPr>
      </w:pPr>
      <w:r w:rsidRPr="00E028E5">
        <w:rPr>
          <w:rFonts w:ascii="Arial" w:hAnsi="Arial" w:cs="Arial"/>
          <w:b/>
          <w:sz w:val="24"/>
          <w:szCs w:val="24"/>
        </w:rPr>
        <w:t>Wysokość wadium</w:t>
      </w:r>
      <w:r w:rsidRPr="00E028E5">
        <w:rPr>
          <w:rFonts w:ascii="Arial" w:hAnsi="Arial" w:cs="Arial"/>
          <w:sz w:val="24"/>
          <w:szCs w:val="24"/>
        </w:rPr>
        <w:t>……………………………….………..……</w:t>
      </w:r>
      <w:r w:rsidR="00ED534A" w:rsidRPr="00E028E5">
        <w:rPr>
          <w:rFonts w:ascii="Arial" w:hAnsi="Arial" w:cs="Arial"/>
          <w:sz w:val="24"/>
          <w:szCs w:val="24"/>
        </w:rPr>
        <w:t>….</w:t>
      </w:r>
      <w:r w:rsidR="00393616" w:rsidRPr="00E028E5">
        <w:rPr>
          <w:rFonts w:ascii="Arial" w:hAnsi="Arial" w:cs="Arial"/>
          <w:sz w:val="24"/>
          <w:szCs w:val="24"/>
        </w:rPr>
        <w:t>…</w:t>
      </w:r>
      <w:r w:rsidRPr="00E028E5">
        <w:rPr>
          <w:rFonts w:ascii="Arial" w:hAnsi="Arial" w:cs="Arial"/>
          <w:sz w:val="24"/>
          <w:szCs w:val="24"/>
        </w:rPr>
        <w:t>.</w:t>
      </w:r>
      <w:r w:rsidR="00655EDF" w:rsidRPr="00E028E5">
        <w:rPr>
          <w:rFonts w:ascii="Arial" w:hAnsi="Arial" w:cs="Arial"/>
          <w:b/>
          <w:sz w:val="24"/>
          <w:szCs w:val="24"/>
        </w:rPr>
        <w:t>14</w:t>
      </w:r>
      <w:r w:rsidRPr="00E028E5">
        <w:rPr>
          <w:rFonts w:ascii="Arial" w:hAnsi="Arial" w:cs="Arial"/>
          <w:b/>
          <w:sz w:val="24"/>
          <w:szCs w:val="24"/>
        </w:rPr>
        <w:t>.000,00 zł</w:t>
      </w:r>
    </w:p>
    <w:p w:rsidR="00393616" w:rsidRPr="00E028E5" w:rsidRDefault="00393616" w:rsidP="00393616">
      <w:p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Wadium w podanej wysokości, należy wpłacić na rachunek bankowy Urzędu Gminy Międzyrzecz nr</w:t>
      </w:r>
      <w:r w:rsidRPr="00E028E5">
        <w:rPr>
          <w:rFonts w:ascii="Arial" w:eastAsia="Times New Roman" w:hAnsi="Arial" w:cs="Arial"/>
          <w:b/>
          <w:sz w:val="24"/>
          <w:szCs w:val="24"/>
          <w:lang w:eastAsia="pl-PL"/>
        </w:rPr>
        <w:t>: 06 2030 0045 1110 0000 0131 3280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 w BNP PARIBAS BANK POLSKA S.A.</w:t>
      </w:r>
      <w:r w:rsidRPr="00E0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028E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 04 listopada 2021 r</w:t>
      </w:r>
      <w:r w:rsidRPr="00E028E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E028E5">
        <w:rPr>
          <w:rFonts w:ascii="Arial" w:eastAsia="Times New Roman" w:hAnsi="Arial" w:cs="Arial"/>
          <w:b/>
          <w:sz w:val="24"/>
          <w:szCs w:val="24"/>
          <w:lang w:eastAsia="pl-PL"/>
        </w:rPr>
        <w:t>liczy się data wpływu na rachunek bankowy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 (dowody i</w:t>
      </w:r>
      <w:r w:rsidR="001313FD" w:rsidRPr="00E028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>daty wpłaty sprawdzane będą przed rozpoczęciem przetargu).</w:t>
      </w:r>
    </w:p>
    <w:p w:rsidR="00393616" w:rsidRPr="00E028E5" w:rsidRDefault="00393616" w:rsidP="00393616">
      <w:p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Aby uczestniczyć w przetargu należ</w:t>
      </w:r>
      <w:r w:rsidR="001313FD"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y uiścić określoną kwotę wadium 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>a w tytule przelewu należy podać:</w:t>
      </w:r>
      <w:r w:rsidRPr="00E0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„wadium, lokal nr 2 ul. Winnica 30 Międzyrzecz”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3616" w:rsidRPr="00E028E5" w:rsidRDefault="00393616" w:rsidP="00393616">
      <w:p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Wpłacone wadium przez uczestnika przetargu, który przetarg przegrał będzie przekazane niezwłocznie na wskazany przez Wpłacającego rachunek bankowy nie później niż przed upływem 3 dni od dnia: odwołania przetargu, zamknięcia przetargu, unieważnienia przetargu lub zakończenia się przetargu wynikiem negatywnym.</w:t>
      </w:r>
    </w:p>
    <w:p w:rsidR="00393616" w:rsidRPr="00E028E5" w:rsidRDefault="00393616" w:rsidP="00393616">
      <w:p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Wadium wniesione w pieniądzu przez uczestnika przetargu, który przetarg wygrał, zalicza się na poczet ceny nabycia nieruchomości. Cenę pomniejszoną o wpłacone wadium należy wpłacić na rachunek bankowy Gminy Międzyrzecz nie później niż do dnia zawarcia umowy notarialnej. Niedotrzymanie tego terminu jest równoznaczne z uchyleniem się od zawarcia umowy i powoduje przepadek wadium a przetarg czyni niebyłym.</w:t>
      </w:r>
    </w:p>
    <w:p w:rsidR="008621AC" w:rsidRPr="00E028E5" w:rsidRDefault="008621AC" w:rsidP="008621AC">
      <w:pPr>
        <w:spacing w:after="0" w:line="240" w:lineRule="auto"/>
        <w:ind w:right="-3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028E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dodatkowe: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</w:t>
      </w:r>
      <w:r w:rsidR="001313FD" w:rsidRPr="00E028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>zaokrągleniem w górę do pełnych dziesiątek złotych.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Z uwagi na konieczność zapobiegania rozprzestrzeniania się choroby CAVID-19, wywołanej wirusem SARS-CoV-2 przetarg odbędzie się z zachowaniem reżimu sanitarnego. Niezbędne będzie zachowanie dwumetrowych odstępów między osob</w:t>
      </w:r>
      <w:r w:rsidR="00393616" w:rsidRPr="00E028E5">
        <w:rPr>
          <w:rFonts w:ascii="Arial" w:eastAsia="Times New Roman" w:hAnsi="Arial" w:cs="Arial"/>
          <w:sz w:val="24"/>
          <w:szCs w:val="24"/>
          <w:lang w:eastAsia="pl-PL"/>
        </w:rPr>
        <w:t>ami oraz ich obecność w maskach</w:t>
      </w:r>
      <w:r w:rsidRPr="00E028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wywieszone jest na tablicy ogłoszeń w siedzibie Urzędu Miejskiego w Międzyrzeczu, ul. Rynek 1, w prasie lokalnej oraz na stronach internetowych: </w:t>
      </w:r>
      <w:hyperlink r:id="rId6" w:history="1">
        <w:r w:rsidRPr="00E028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www.bip.miedzyrzecz</w:t>
        </w:r>
      </w:hyperlink>
      <w:r w:rsidRPr="00E028E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Pr="00E028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www.miedzyrzecz.pl</w:t>
        </w:r>
      </w:hyperlink>
      <w:r w:rsidRPr="00E028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8621AC" w:rsidRPr="00E028E5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8E5">
        <w:rPr>
          <w:rFonts w:ascii="Arial" w:eastAsia="Times New Roman" w:hAnsi="Arial" w:cs="Arial"/>
          <w:sz w:val="24"/>
          <w:szCs w:val="24"/>
          <w:lang w:eastAsia="pl-PL"/>
        </w:rPr>
        <w:t>Innych informacji na temat przetargu udzielają pracownicy Wydziału Gospodarki Mieniem Urzędu Miejskiego w Międzyrzeczu, tel. 95 742 69 47.</w:t>
      </w:r>
    </w:p>
    <w:p w:rsidR="008621AC" w:rsidRDefault="008621AC" w:rsidP="008621AC">
      <w:pPr>
        <w:spacing w:after="0"/>
        <w:ind w:right="-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F46" w:rsidRPr="006F1F46" w:rsidRDefault="006F1F46" w:rsidP="006F1F46">
      <w:pPr>
        <w:spacing w:after="0"/>
        <w:ind w:left="5387"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F46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:rsidR="006F1F46" w:rsidRPr="006F1F46" w:rsidRDefault="006F1F46" w:rsidP="006F1F46">
      <w:pPr>
        <w:spacing w:after="0"/>
        <w:ind w:left="5245"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F1F46">
        <w:rPr>
          <w:rFonts w:ascii="Arial" w:eastAsia="Times New Roman" w:hAnsi="Arial" w:cs="Arial"/>
          <w:sz w:val="20"/>
          <w:szCs w:val="20"/>
          <w:lang w:eastAsia="pl-PL"/>
        </w:rPr>
        <w:t>gr Tomasz Markiewicz</w:t>
      </w:r>
    </w:p>
    <w:p w:rsidR="006F1F46" w:rsidRPr="006F1F46" w:rsidRDefault="006F1F46" w:rsidP="006F1F46">
      <w:pPr>
        <w:spacing w:after="0"/>
        <w:ind w:left="5387"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F46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</w:p>
    <w:p w:rsidR="006F1F46" w:rsidRPr="006F1F46" w:rsidRDefault="006F1F46">
      <w:pPr>
        <w:spacing w:after="0"/>
        <w:ind w:left="5245"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6F1F46" w:rsidRPr="006F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57D"/>
    <w:multiLevelType w:val="hybridMultilevel"/>
    <w:tmpl w:val="4AB67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03E"/>
    <w:multiLevelType w:val="hybridMultilevel"/>
    <w:tmpl w:val="7C343B5E"/>
    <w:lvl w:ilvl="0" w:tplc="FA402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25D53"/>
    <w:multiLevelType w:val="hybridMultilevel"/>
    <w:tmpl w:val="5C72E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06180"/>
    <w:rsid w:val="00032F7F"/>
    <w:rsid w:val="00125BBA"/>
    <w:rsid w:val="001313FD"/>
    <w:rsid w:val="00180E56"/>
    <w:rsid w:val="00184F7B"/>
    <w:rsid w:val="00196E04"/>
    <w:rsid w:val="001C41BD"/>
    <w:rsid w:val="001D6E90"/>
    <w:rsid w:val="001F2A74"/>
    <w:rsid w:val="00227434"/>
    <w:rsid w:val="002568EB"/>
    <w:rsid w:val="00285574"/>
    <w:rsid w:val="0029062C"/>
    <w:rsid w:val="002D7631"/>
    <w:rsid w:val="002E33BD"/>
    <w:rsid w:val="002F207E"/>
    <w:rsid w:val="00311084"/>
    <w:rsid w:val="00321C94"/>
    <w:rsid w:val="00382C61"/>
    <w:rsid w:val="00393616"/>
    <w:rsid w:val="003A5F35"/>
    <w:rsid w:val="00444797"/>
    <w:rsid w:val="00481B31"/>
    <w:rsid w:val="004C3708"/>
    <w:rsid w:val="004D6160"/>
    <w:rsid w:val="00531784"/>
    <w:rsid w:val="005628D2"/>
    <w:rsid w:val="0056562A"/>
    <w:rsid w:val="00594AA7"/>
    <w:rsid w:val="005A742D"/>
    <w:rsid w:val="005D5447"/>
    <w:rsid w:val="005E0EE2"/>
    <w:rsid w:val="006120B8"/>
    <w:rsid w:val="00615897"/>
    <w:rsid w:val="00655EDF"/>
    <w:rsid w:val="00677B6B"/>
    <w:rsid w:val="00680767"/>
    <w:rsid w:val="00681D6B"/>
    <w:rsid w:val="006B56A3"/>
    <w:rsid w:val="006F1F46"/>
    <w:rsid w:val="00702A68"/>
    <w:rsid w:val="0076558C"/>
    <w:rsid w:val="0078121A"/>
    <w:rsid w:val="00782A0E"/>
    <w:rsid w:val="007C2808"/>
    <w:rsid w:val="007D3803"/>
    <w:rsid w:val="0080020D"/>
    <w:rsid w:val="00832224"/>
    <w:rsid w:val="00845E9C"/>
    <w:rsid w:val="008621AC"/>
    <w:rsid w:val="008678BB"/>
    <w:rsid w:val="00886E9A"/>
    <w:rsid w:val="00890B18"/>
    <w:rsid w:val="008942B9"/>
    <w:rsid w:val="008C076B"/>
    <w:rsid w:val="009040CA"/>
    <w:rsid w:val="0092082A"/>
    <w:rsid w:val="00942219"/>
    <w:rsid w:val="00960EDE"/>
    <w:rsid w:val="00971B51"/>
    <w:rsid w:val="009C1FEC"/>
    <w:rsid w:val="009D05FE"/>
    <w:rsid w:val="00A200BB"/>
    <w:rsid w:val="00A224E4"/>
    <w:rsid w:val="00A314BE"/>
    <w:rsid w:val="00A87578"/>
    <w:rsid w:val="00A908DA"/>
    <w:rsid w:val="00B135DC"/>
    <w:rsid w:val="00B21864"/>
    <w:rsid w:val="00B2765A"/>
    <w:rsid w:val="00B539FA"/>
    <w:rsid w:val="00BA5D07"/>
    <w:rsid w:val="00BA678F"/>
    <w:rsid w:val="00C039EB"/>
    <w:rsid w:val="00C37207"/>
    <w:rsid w:val="00C41D6D"/>
    <w:rsid w:val="00C742DC"/>
    <w:rsid w:val="00CB7093"/>
    <w:rsid w:val="00CC56F4"/>
    <w:rsid w:val="00CF5190"/>
    <w:rsid w:val="00D051D2"/>
    <w:rsid w:val="00D7630E"/>
    <w:rsid w:val="00E028E5"/>
    <w:rsid w:val="00E43539"/>
    <w:rsid w:val="00E76D1C"/>
    <w:rsid w:val="00EC0E62"/>
    <w:rsid w:val="00ED534A"/>
    <w:rsid w:val="00EE2FAB"/>
    <w:rsid w:val="00F50A57"/>
    <w:rsid w:val="00F71422"/>
    <w:rsid w:val="00F745F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mrogala</cp:lastModifiedBy>
  <cp:revision>2</cp:revision>
  <cp:lastPrinted>2021-10-04T07:37:00Z</cp:lastPrinted>
  <dcterms:created xsi:type="dcterms:W3CDTF">2021-10-04T08:45:00Z</dcterms:created>
  <dcterms:modified xsi:type="dcterms:W3CDTF">2021-10-04T08:45:00Z</dcterms:modified>
</cp:coreProperties>
</file>